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560" w:lineRule="exact"/>
        <w:jc w:val="center"/>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划转商务领域行政执法职责的通告</w:t>
      </w:r>
    </w:p>
    <w:bookmarkEnd w:id="0"/>
    <w:p>
      <w:pPr>
        <w:spacing w:line="560" w:lineRule="exact"/>
        <w:jc w:val="center"/>
        <w:outlineLvl w:val="9"/>
        <w:rPr>
          <w:rFonts w:hint="eastAsia" w:ascii="仿宋_GB2312" w:hAnsi="仿宋_GB2312" w:eastAsia="仿宋_GB2312" w:cs="仿宋_GB2312"/>
          <w:sz w:val="32"/>
          <w:szCs w:val="44"/>
          <w:lang w:val="en-US" w:eastAsia="zh-CN"/>
        </w:rPr>
      </w:pPr>
      <w:r>
        <w:rPr>
          <w:rFonts w:hint="eastAsia" w:ascii="仿宋_GB2312" w:hAnsi="仿宋_GB2312" w:eastAsia="仿宋_GB2312" w:cs="仿宋_GB2312"/>
          <w:sz w:val="32"/>
          <w:szCs w:val="44"/>
          <w:lang w:val="en-US" w:eastAsia="zh-CN"/>
        </w:rPr>
        <w:t>（征求意见稿）</w:t>
      </w:r>
    </w:p>
    <w:p>
      <w:pPr>
        <w:spacing w:line="560" w:lineRule="exact"/>
        <w:ind w:firstLine="632" w:firstLineChars="200"/>
        <w:outlineLvl w:val="9"/>
        <w:rPr>
          <w:rFonts w:hint="eastAsia" w:ascii="仿宋_GB2312" w:hAnsi="仿宋_GB2312" w:eastAsia="仿宋_GB2312" w:cs="仿宋_GB2312"/>
          <w:sz w:val="32"/>
          <w:szCs w:val="32"/>
          <w:lang w:val="en-US" w:eastAsia="zh-CN"/>
        </w:rPr>
      </w:pPr>
    </w:p>
    <w:p>
      <w:pPr>
        <w:spacing w:line="560" w:lineRule="exact"/>
        <w:ind w:firstLine="632"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根据《中共汕尾市委 汕尾市人民政府关于印发&lt;汕尾市机构改革方案&gt;的通知》（汕尾发〔2018〕19号）《关于将商务领域执法职责划入市场监管综合行政执法队伍的通知（汕机编办〔2020〕2号），现将汕尾市商务局承担的商务领域行政执法职责划入汕尾市市场监管局。</w:t>
      </w:r>
    </w:p>
    <w:p>
      <w:pPr>
        <w:spacing w:line="560" w:lineRule="exact"/>
        <w:ind w:firstLine="632"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自2021年  月  日起，商务领域行政执法职责</w:t>
      </w:r>
      <w:r>
        <w:rPr>
          <w:rFonts w:hint="eastAsia" w:ascii="Times New Roman" w:hAnsi="Times New Roman" w:eastAsia="仿宋_GB2312"/>
          <w:sz w:val="32"/>
          <w:szCs w:val="32"/>
        </w:rPr>
        <w:t>（行政处罚权以及行政处罚相关的行政检查</w:t>
      </w:r>
      <w:r>
        <w:rPr>
          <w:rFonts w:hint="eastAsia" w:ascii="Times New Roman" w:hAnsi="Times New Roman" w:eastAsia="仿宋_GB2312"/>
          <w:sz w:val="32"/>
          <w:szCs w:val="32"/>
          <w:lang w:eastAsia="zh-CN"/>
        </w:rPr>
        <w:t>权</w:t>
      </w:r>
      <w:r>
        <w:rPr>
          <w:rFonts w:hint="eastAsia" w:ascii="Times New Roman" w:hAnsi="Times New Roman" w:eastAsia="仿宋_GB2312"/>
          <w:sz w:val="32"/>
          <w:szCs w:val="32"/>
        </w:rPr>
        <w:t>、行政强制</w:t>
      </w:r>
      <w:r>
        <w:rPr>
          <w:rFonts w:hint="eastAsia" w:ascii="Times New Roman" w:hAnsi="Times New Roman" w:eastAsia="仿宋_GB2312"/>
          <w:sz w:val="32"/>
          <w:szCs w:val="32"/>
          <w:lang w:eastAsia="zh-CN"/>
        </w:rPr>
        <w:t>措施</w:t>
      </w:r>
      <w:r>
        <w:rPr>
          <w:rFonts w:hint="eastAsia" w:ascii="Times New Roman" w:hAnsi="Times New Roman" w:eastAsia="仿宋_GB2312"/>
          <w:sz w:val="32"/>
          <w:szCs w:val="32"/>
        </w:rPr>
        <w:t>权）</w:t>
      </w:r>
      <w:r>
        <w:rPr>
          <w:rFonts w:hint="eastAsia" w:ascii="Times New Roman" w:hAnsi="Times New Roman" w:eastAsia="仿宋_GB2312"/>
          <w:color w:val="000000"/>
          <w:sz w:val="32"/>
          <w:szCs w:val="32"/>
        </w:rPr>
        <w:t>，包括举报投诉的调查处理和行政处罚案件的立案、调查、处罚</w:t>
      </w:r>
      <w:r>
        <w:rPr>
          <w:rFonts w:hint="eastAsia" w:ascii="仿宋_GB2312" w:hAnsi="仿宋_GB2312" w:eastAsia="仿宋_GB2312" w:cs="仿宋_GB2312"/>
          <w:sz w:val="32"/>
          <w:szCs w:val="32"/>
          <w:lang w:val="en-US" w:eastAsia="zh-CN"/>
        </w:rPr>
        <w:t>等由汕尾市市场监督管理局行使。</w:t>
      </w:r>
    </w:p>
    <w:p>
      <w:pPr>
        <w:spacing w:line="560" w:lineRule="exact"/>
        <w:ind w:firstLine="632"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spacing w:line="560" w:lineRule="exact"/>
        <w:ind w:firstLine="632"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附件：商务执法事项划转清单</w:t>
      </w:r>
    </w:p>
    <w:p>
      <w:pPr>
        <w:spacing w:line="560" w:lineRule="exact"/>
        <w:ind w:firstLine="632" w:firstLineChars="200"/>
        <w:outlineLvl w:val="9"/>
        <w:rPr>
          <w:rFonts w:hint="eastAsia" w:ascii="仿宋_GB2312" w:hAnsi="仿宋_GB2312" w:eastAsia="仿宋_GB2312" w:cs="仿宋_GB2312"/>
          <w:sz w:val="32"/>
          <w:szCs w:val="32"/>
          <w:lang w:val="en-US" w:eastAsia="zh-CN"/>
        </w:rPr>
      </w:pPr>
    </w:p>
    <w:p>
      <w:pPr>
        <w:spacing w:line="560" w:lineRule="exact"/>
        <w:ind w:firstLine="632" w:firstLineChars="200"/>
        <w:outlineLvl w:val="9"/>
        <w:rPr>
          <w:rFonts w:hint="eastAsia" w:ascii="仿宋_GB2312" w:hAnsi="仿宋_GB2312" w:eastAsia="仿宋_GB2312" w:cs="仿宋_GB2312"/>
          <w:sz w:val="32"/>
          <w:szCs w:val="32"/>
          <w:lang w:val="en-US" w:eastAsia="zh-CN"/>
        </w:rPr>
      </w:pPr>
    </w:p>
    <w:p>
      <w:pPr>
        <w:spacing w:line="560" w:lineRule="exact"/>
        <w:ind w:firstLine="632" w:firstLineChars="200"/>
        <w:outlineLvl w:val="9"/>
        <w:rPr>
          <w:rFonts w:hint="eastAsia" w:ascii="仿宋_GB2312" w:hAnsi="仿宋_GB2312" w:eastAsia="仿宋_GB2312" w:cs="仿宋_GB2312"/>
          <w:sz w:val="32"/>
          <w:szCs w:val="32"/>
          <w:lang w:val="en-US" w:eastAsia="zh-CN"/>
        </w:rPr>
      </w:pPr>
    </w:p>
    <w:p>
      <w:pPr>
        <w:wordWrap w:val="0"/>
        <w:spacing w:line="560" w:lineRule="exact"/>
        <w:jc w:val="righ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  月  日</w:t>
      </w:r>
    </w:p>
    <w:p/>
    <w:sectPr>
      <w:pgSz w:w="11906" w:h="16838"/>
      <w:pgMar w:top="2098" w:right="1474" w:bottom="1984" w:left="1588" w:header="851" w:footer="1400"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81626"/>
    <w:rsid w:val="7208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中文正文"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2020-12-29T07:21:00Z</dcterms:created>
  <dc:creator>Administrator</dc:creator>
  <cp:lastModifiedBy>Administrator</cp:lastModifiedBy>
  <dcterms:modified xsi:type="dcterms:W3CDTF">2020-12-29T07:22:33Z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