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</w:pPr>
      <w:bookmarkStart w:id="0" w:name="_GoBack"/>
      <w:bookmarkEnd w:id="0"/>
      <w:r>
        <w:rPr>
          <w:rFonts w:hint="eastAsia"/>
        </w:rPr>
        <w:t>汕尾红海湾临港片区控制性详细规划及城市设计内容简介</w:t>
      </w:r>
    </w:p>
    <w:p>
      <w:pPr>
        <w:ind w:firstLine="0" w:firstLineChars="0"/>
        <w:jc w:val="center"/>
        <w:rPr>
          <w:b/>
          <w:sz w:val="40"/>
        </w:rPr>
      </w:pPr>
    </w:p>
    <w:p>
      <w:pPr>
        <w:ind w:firstLine="643"/>
        <w:rPr>
          <w:b/>
        </w:rPr>
      </w:pPr>
      <w:r>
        <w:rPr>
          <w:rFonts w:hint="eastAsia"/>
          <w:b/>
        </w:rPr>
        <w:t>一、规划范围</w:t>
      </w:r>
    </w:p>
    <w:p>
      <w:r>
        <w:rPr>
          <w:rFonts w:hint="eastAsia"/>
        </w:rPr>
        <w:t>红海湾临港片区位于汕尾市东南部，紧邻白沙湖和汕尾新港区，距离汕尾市区约18公里。规划范围北以现状盐业排洪渠为界，南至红海湾北片区控规范围，西至红海湾大道，东至白沙湖。规划面积共3</w:t>
      </w:r>
      <w:r>
        <w:t>.02</w:t>
      </w:r>
      <w:r>
        <w:rPr>
          <w:rFonts w:hint="eastAsia"/>
        </w:rPr>
        <w:t>平方公里，其中汕尾综合保税区选址位于规划范围北部，面积为1</w:t>
      </w:r>
      <w:r>
        <w:t>.80</w:t>
      </w:r>
      <w:r>
        <w:rPr>
          <w:rFonts w:hint="eastAsia"/>
        </w:rPr>
        <w:t>平方公里。</w:t>
      </w:r>
    </w:p>
    <w:p>
      <w:pPr>
        <w:ind w:firstLine="643"/>
        <w:rPr>
          <w:rStyle w:val="20"/>
          <w:sz w:val="32"/>
          <w:szCs w:val="20"/>
        </w:rPr>
      </w:pPr>
      <w:r>
        <w:rPr>
          <w:rStyle w:val="20"/>
          <w:rFonts w:hint="eastAsia"/>
          <w:sz w:val="32"/>
          <w:szCs w:val="20"/>
        </w:rPr>
        <w:t>二、规划定位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汕尾红海湾临港片区将立足汕尾，辐射内陆腹地，着力建设成为：广东省沿海经济带重要节点、粤东地区保税新业态创新发展试验区、汕尾市临港经济发展核心区。</w:t>
      </w:r>
    </w:p>
    <w:p>
      <w:pPr>
        <w:rPr>
          <w:rStyle w:val="20"/>
          <w:b w:val="0"/>
          <w:sz w:val="32"/>
          <w:szCs w:val="20"/>
        </w:rPr>
      </w:pPr>
      <w:r>
        <w:rPr>
          <w:rFonts w:hint="eastAsia"/>
        </w:rPr>
        <w:t>支撑汕尾建设沿海经济带靓丽明珠目标愿景，建设汕尾对外开放门户，推动区港城联动一体化发展，打造开放创新、功能复合的现代化产业园区，塑造地标引领、风貌崭新的城市发展名片，维育生态和谐、宜业宜游的海岸带景点。</w:t>
      </w:r>
    </w:p>
    <w:p>
      <w:pPr>
        <w:ind w:firstLine="643"/>
        <w:rPr>
          <w:rStyle w:val="20"/>
          <w:sz w:val="32"/>
          <w:szCs w:val="20"/>
        </w:rPr>
      </w:pPr>
      <w:r>
        <w:rPr>
          <w:rStyle w:val="20"/>
          <w:rFonts w:hint="eastAsia"/>
          <w:sz w:val="32"/>
          <w:szCs w:val="20"/>
        </w:rPr>
        <w:t>三、规划结构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临港片区规划形成“一轴两带三区”空间结构。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（1）保税产业综合发展轴，依托区内交通干道，联通保税商贸、保税物流与保税加工三大功能组团。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（2）休憩漫行绿带与滨海休闲景观带，结合绿地廊道与亲水海岸，规划园区休闲空间。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（3）产业综合服务区，为综合保税区提供行政管理、服务贸易、商贸展销等功能，配套商贸产业空间与行政办公空间。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（4）保税物流服务区，打造高端综合物流板块，整合口岸作业、国际中转、保税仓储、物流加工与售后检测等功能，建设集仓储、交易、中转、检测等于一体的现代物流园。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（5）保税加工制造区，打造现代创新的临港制造板块，发展区内加工贸易，建设临港制造产业园。</w:t>
      </w:r>
    </w:p>
    <w:p>
      <w:pPr>
        <w:rPr>
          <w:rStyle w:val="20"/>
          <w:b w:val="0"/>
          <w:sz w:val="32"/>
          <w:szCs w:val="20"/>
        </w:rPr>
      </w:pPr>
      <w:r>
        <w:rPr>
          <w:rStyle w:val="20"/>
          <w:rFonts w:hint="eastAsia"/>
          <w:b w:val="0"/>
          <w:sz w:val="32"/>
          <w:szCs w:val="20"/>
        </w:rPr>
        <w:t>（6）远期发展备用地，南部作为远期综保区拓展、关联产业集聚、产业配套等功能拓展预留用地。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7" w:right="1474" w:bottom="1134" w:left="1474" w:header="567" w:footer="1134" w:gutter="57"/>
      <w:pgNumType w:start="2"/>
      <w:cols w:space="720" w:num="1"/>
      <w:docGrid w:type="lines" w:linePitch="45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6.104.13:8080/default/components/gtgh/weboffice/iWebOffice2015/OfficeServer.jsp"/>
  </w:docVars>
  <w:rsids>
    <w:rsidRoot w:val="218D03B7"/>
    <w:rsid w:val="00030979"/>
    <w:rsid w:val="000938E9"/>
    <w:rsid w:val="00107DA8"/>
    <w:rsid w:val="00114F05"/>
    <w:rsid w:val="00126713"/>
    <w:rsid w:val="001A31E4"/>
    <w:rsid w:val="001D494E"/>
    <w:rsid w:val="0022306A"/>
    <w:rsid w:val="00287237"/>
    <w:rsid w:val="00287FD3"/>
    <w:rsid w:val="002910F1"/>
    <w:rsid w:val="00293303"/>
    <w:rsid w:val="00300482"/>
    <w:rsid w:val="0032160A"/>
    <w:rsid w:val="00422606"/>
    <w:rsid w:val="004617F6"/>
    <w:rsid w:val="004D02F0"/>
    <w:rsid w:val="005312EB"/>
    <w:rsid w:val="00565F6E"/>
    <w:rsid w:val="00572718"/>
    <w:rsid w:val="00606A88"/>
    <w:rsid w:val="006262AE"/>
    <w:rsid w:val="00666E0F"/>
    <w:rsid w:val="00677D17"/>
    <w:rsid w:val="006865AC"/>
    <w:rsid w:val="006F3326"/>
    <w:rsid w:val="00713DD5"/>
    <w:rsid w:val="007A15FC"/>
    <w:rsid w:val="007B6711"/>
    <w:rsid w:val="007F47D0"/>
    <w:rsid w:val="008568D2"/>
    <w:rsid w:val="00890CF0"/>
    <w:rsid w:val="008B013D"/>
    <w:rsid w:val="00967328"/>
    <w:rsid w:val="009F434B"/>
    <w:rsid w:val="00A23154"/>
    <w:rsid w:val="00A722C1"/>
    <w:rsid w:val="00AD37F0"/>
    <w:rsid w:val="00B57526"/>
    <w:rsid w:val="00C11267"/>
    <w:rsid w:val="00C23EAA"/>
    <w:rsid w:val="00C30E63"/>
    <w:rsid w:val="00C34594"/>
    <w:rsid w:val="00C55FC3"/>
    <w:rsid w:val="00CA207E"/>
    <w:rsid w:val="00CC3E43"/>
    <w:rsid w:val="00CE0117"/>
    <w:rsid w:val="00CF5F6A"/>
    <w:rsid w:val="00D8556C"/>
    <w:rsid w:val="00DB329E"/>
    <w:rsid w:val="00DE69F9"/>
    <w:rsid w:val="00E27056"/>
    <w:rsid w:val="00EA11AA"/>
    <w:rsid w:val="00EB3538"/>
    <w:rsid w:val="00ED2E92"/>
    <w:rsid w:val="00F0235E"/>
    <w:rsid w:val="00F5344B"/>
    <w:rsid w:val="00F71699"/>
    <w:rsid w:val="00FF0BB7"/>
    <w:rsid w:val="12372C6E"/>
    <w:rsid w:val="218D03B7"/>
    <w:rsid w:val="22E078C4"/>
    <w:rsid w:val="25027FFB"/>
    <w:rsid w:val="3A256F18"/>
    <w:rsid w:val="3A2E3C82"/>
    <w:rsid w:val="40A3379D"/>
    <w:rsid w:val="44263AA3"/>
    <w:rsid w:val="6E6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outlineLvl w:val="0"/>
    </w:pPr>
    <w:rPr>
      <w:rFonts w:ascii="黑体" w:hAnsi="黑体" w:eastAsia="黑体" w:cs="黑体"/>
    </w:rPr>
  </w:style>
  <w:style w:type="paragraph" w:styleId="3">
    <w:name w:val="heading 2"/>
    <w:basedOn w:val="1"/>
    <w:next w:val="1"/>
    <w:link w:val="27"/>
    <w:unhideWhenUsed/>
    <w:qFormat/>
    <w:uiPriority w:val="0"/>
    <w:pPr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link w:val="29"/>
    <w:unhideWhenUsed/>
    <w:qFormat/>
    <w:uiPriority w:val="0"/>
    <w:pPr>
      <w:ind w:firstLine="643"/>
      <w:outlineLvl w:val="2"/>
    </w:pPr>
    <w:rPr>
      <w:b/>
    </w:rPr>
  </w:style>
  <w:style w:type="paragraph" w:styleId="5">
    <w:name w:val="heading 4"/>
    <w:basedOn w:val="1"/>
    <w:next w:val="1"/>
    <w:link w:val="30"/>
    <w:unhideWhenUsed/>
    <w:qFormat/>
    <w:uiPriority w:val="0"/>
    <w:pPr>
      <w:ind w:firstLine="643"/>
      <w:outlineLvl w:val="3"/>
    </w:pPr>
    <w:rPr>
      <w:b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uiPriority w:val="0"/>
    <w:pPr>
      <w:jc w:val="left"/>
    </w:pPr>
  </w:style>
  <w:style w:type="paragraph" w:styleId="7">
    <w:name w:val="Body Text"/>
    <w:basedOn w:val="1"/>
    <w:next w:val="8"/>
    <w:uiPriority w:val="0"/>
    <w:pPr>
      <w:jc w:val="center"/>
    </w:pPr>
    <w:rPr>
      <w:rFonts w:eastAsia="宋体"/>
      <w:b/>
      <w:sz w:val="44"/>
    </w:rPr>
  </w:style>
  <w:style w:type="paragraph" w:styleId="8">
    <w:name w:val="toc 5"/>
    <w:basedOn w:val="1"/>
    <w:next w:val="1"/>
    <w:uiPriority w:val="0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9">
    <w:name w:val="endnote text"/>
    <w:basedOn w:val="1"/>
    <w:link w:val="33"/>
    <w:uiPriority w:val="0"/>
    <w:pPr>
      <w:snapToGrid w:val="0"/>
      <w:jc w:val="left"/>
    </w:pPr>
  </w:style>
  <w:style w:type="paragraph" w:styleId="10">
    <w:name w:val="Balloon Text"/>
    <w:basedOn w:val="1"/>
    <w:link w:val="25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5"/>
    <w:qFormat/>
    <w:uiPriority w:val="0"/>
    <w:pPr>
      <w:spacing w:before="240" w:after="60" w:line="312" w:lineRule="atLeast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14">
    <w:name w:val="footnote text"/>
    <w:basedOn w:val="1"/>
    <w:link w:val="34"/>
    <w:uiPriority w:val="0"/>
    <w:pPr>
      <w:snapToGrid w:val="0"/>
      <w:jc w:val="left"/>
    </w:pPr>
    <w:rPr>
      <w:sz w:val="18"/>
      <w:szCs w:val="18"/>
    </w:rPr>
  </w:style>
  <w:style w:type="paragraph" w:styleId="15">
    <w:name w:val="Title"/>
    <w:basedOn w:val="1"/>
    <w:next w:val="1"/>
    <w:link w:val="28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16">
    <w:name w:val="annotation subject"/>
    <w:basedOn w:val="6"/>
    <w:next w:val="6"/>
    <w:link w:val="32"/>
    <w:uiPriority w:val="0"/>
    <w:rPr>
      <w:b/>
      <w:bCs/>
    </w:rPr>
  </w:style>
  <w:style w:type="table" w:styleId="18">
    <w:name w:val="Table Theme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sz w:val="24"/>
      <w:szCs w:val="24"/>
    </w:rPr>
  </w:style>
  <w:style w:type="character" w:styleId="21">
    <w:name w:val="endnote reference"/>
    <w:uiPriority w:val="0"/>
    <w:rPr>
      <w:vertAlign w:val="superscript"/>
    </w:rPr>
  </w:style>
  <w:style w:type="character" w:styleId="22">
    <w:name w:val="Emphasis"/>
    <w:qFormat/>
    <w:uiPriority w:val="0"/>
    <w:rPr>
      <w:rFonts w:ascii="黑体" w:hAnsi="黑体" w:eastAsia="黑体"/>
      <w:b/>
      <w:sz w:val="24"/>
    </w:rPr>
  </w:style>
  <w:style w:type="character" w:styleId="23">
    <w:name w:val="annotation reference"/>
    <w:uiPriority w:val="0"/>
    <w:rPr>
      <w:sz w:val="21"/>
      <w:szCs w:val="21"/>
    </w:rPr>
  </w:style>
  <w:style w:type="character" w:styleId="24">
    <w:name w:val="footnote reference"/>
    <w:uiPriority w:val="0"/>
    <w:rPr>
      <w:vertAlign w:val="superscript"/>
    </w:rPr>
  </w:style>
  <w:style w:type="character" w:customStyle="1" w:styleId="25">
    <w:name w:val="批注框文本 字符"/>
    <w:link w:val="10"/>
    <w:uiPriority w:val="0"/>
    <w:rPr>
      <w:rFonts w:eastAsia="仿宋_GB2312"/>
      <w:kern w:val="2"/>
      <w:sz w:val="18"/>
      <w:szCs w:val="18"/>
    </w:rPr>
  </w:style>
  <w:style w:type="character" w:customStyle="1" w:styleId="26">
    <w:name w:val="标题 1 字符"/>
    <w:link w:val="2"/>
    <w:uiPriority w:val="0"/>
    <w:rPr>
      <w:rFonts w:ascii="黑体" w:hAnsi="黑体" w:eastAsia="黑体" w:cs="黑体"/>
      <w:kern w:val="2"/>
      <w:sz w:val="32"/>
    </w:rPr>
  </w:style>
  <w:style w:type="character" w:customStyle="1" w:styleId="27">
    <w:name w:val="标题 2 字符"/>
    <w:link w:val="3"/>
    <w:uiPriority w:val="0"/>
    <w:rPr>
      <w:rFonts w:ascii="楷体_GB2312" w:hAnsi="楷体_GB2312" w:eastAsia="楷体_GB2312" w:cs="楷体_GB2312"/>
      <w:kern w:val="2"/>
      <w:sz w:val="32"/>
    </w:rPr>
  </w:style>
  <w:style w:type="character" w:customStyle="1" w:styleId="28">
    <w:name w:val="标题 字符"/>
    <w:link w:val="15"/>
    <w:uiPriority w:val="0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character" w:customStyle="1" w:styleId="29">
    <w:name w:val="标题 3 字符"/>
    <w:link w:val="4"/>
    <w:uiPriority w:val="0"/>
    <w:rPr>
      <w:rFonts w:eastAsia="仿宋_GB2312"/>
      <w:b/>
      <w:kern w:val="2"/>
      <w:sz w:val="32"/>
    </w:rPr>
  </w:style>
  <w:style w:type="character" w:customStyle="1" w:styleId="30">
    <w:name w:val="标题 4 字符"/>
    <w:link w:val="5"/>
    <w:uiPriority w:val="0"/>
    <w:rPr>
      <w:rFonts w:eastAsia="仿宋_GB2312"/>
      <w:b/>
      <w:kern w:val="2"/>
      <w:sz w:val="32"/>
    </w:rPr>
  </w:style>
  <w:style w:type="character" w:customStyle="1" w:styleId="31">
    <w:name w:val="批注文字 字符"/>
    <w:link w:val="6"/>
    <w:uiPriority w:val="0"/>
    <w:rPr>
      <w:rFonts w:eastAsia="仿宋_GB2312"/>
      <w:kern w:val="2"/>
      <w:sz w:val="32"/>
    </w:rPr>
  </w:style>
  <w:style w:type="character" w:customStyle="1" w:styleId="32">
    <w:name w:val="批注主题 字符"/>
    <w:link w:val="16"/>
    <w:uiPriority w:val="0"/>
    <w:rPr>
      <w:rFonts w:eastAsia="仿宋_GB2312"/>
      <w:b/>
      <w:bCs/>
      <w:kern w:val="2"/>
      <w:sz w:val="32"/>
    </w:rPr>
  </w:style>
  <w:style w:type="character" w:customStyle="1" w:styleId="33">
    <w:name w:val="尾注文本 字符"/>
    <w:link w:val="9"/>
    <w:uiPriority w:val="0"/>
    <w:rPr>
      <w:rFonts w:eastAsia="仿宋_GB2312"/>
      <w:kern w:val="2"/>
      <w:sz w:val="32"/>
    </w:rPr>
  </w:style>
  <w:style w:type="character" w:customStyle="1" w:styleId="34">
    <w:name w:val="脚注文本 字符"/>
    <w:link w:val="14"/>
    <w:uiPriority w:val="0"/>
    <w:rPr>
      <w:rFonts w:eastAsia="仿宋_GB2312"/>
      <w:kern w:val="2"/>
      <w:sz w:val="18"/>
      <w:szCs w:val="18"/>
    </w:rPr>
  </w:style>
  <w:style w:type="character" w:customStyle="1" w:styleId="35">
    <w:name w:val="副标题 字符"/>
    <w:link w:val="13"/>
    <w:uiPriority w:val="0"/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9D557-4B2E-4BFA-B6A5-987AB3825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668</Characters>
  <Lines>4</Lines>
  <Paragraphs>1</Paragraphs>
  <TotalTime>27</TotalTime>
  <ScaleCrop>false</ScaleCrop>
  <LinksUpToDate>false</LinksUpToDate>
  <CharactersWithSpaces>668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2022-10-25T07:59:00Z</dcterms:created>
  <dc:creator>NTKO</dc:creator>
  <cp:lastModifiedBy>隐宅酱</cp:lastModifiedBy>
  <dcterms:modified xsi:type="dcterms:W3CDTF">2022-10-27T06:44:19Z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B95BED4126794CBE9B83795C69DA81A7</vt:lpwstr>
  </property>
</Properties>
</file>