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156" w:beforeLines="50" w:after="156" w:afterLines="50"/>
        <w:rPr>
          <w:rFonts w:hint="eastAsia" w:ascii="黑体" w:hAnsi="黑体" w:eastAsia="黑体"/>
          <w:sz w:val="32"/>
          <w:szCs w:val="32"/>
        </w:rPr>
      </w:pPr>
      <w:r>
        <w:rPr>
          <w:rFonts w:hint="eastAsia" w:ascii="黑体" w:hAnsi="黑体" w:eastAsia="黑体"/>
          <w:sz w:val="32"/>
          <w:szCs w:val="32"/>
        </w:rPr>
        <w:t>附件</w:t>
      </w:r>
      <w:r>
        <w:rPr>
          <w:rFonts w:hint="eastAsia" w:ascii="黑体" w:hAnsi="黑体" w:eastAsia="黑体"/>
          <w:sz w:val="32"/>
          <w:szCs w:val="32"/>
          <w:lang w:val="en-US"/>
        </w:rPr>
        <w:t>1</w:t>
      </w:r>
    </w:p>
    <w:p>
      <w:pPr>
        <w:spacing w:line="360" w:lineRule="auto"/>
        <w:jc w:val="center"/>
        <w:rPr>
          <w:rFonts w:ascii="华文楷体" w:hAnsi="华文楷体" w:eastAsia="华文楷体" w:cs="华文楷体"/>
          <w:b/>
          <w:bCs/>
          <w:sz w:val="32"/>
          <w:szCs w:val="32"/>
        </w:rPr>
      </w:pPr>
      <w:bookmarkStart w:id="0" w:name="_GoBack"/>
      <w:r>
        <w:rPr>
          <w:rFonts w:hint="eastAsia" w:ascii="华文楷体" w:hAnsi="华文楷体" w:eastAsia="华文楷体" w:cs="华文楷体"/>
          <w:b/>
          <w:bCs/>
          <w:sz w:val="32"/>
          <w:szCs w:val="32"/>
        </w:rPr>
        <w:t>汕尾市“无废城市”建设指标体系</w:t>
      </w:r>
    </w:p>
    <w:bookmarkEnd w:id="0"/>
    <w:tbl>
      <w:tblPr>
        <w:tblStyle w:val="4"/>
        <w:tblW w:w="50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470"/>
        <w:gridCol w:w="1012"/>
        <w:gridCol w:w="1505"/>
        <w:gridCol w:w="3133"/>
        <w:gridCol w:w="1139"/>
        <w:gridCol w:w="1282"/>
        <w:gridCol w:w="1282"/>
        <w:gridCol w:w="1423"/>
        <w:gridCol w:w="2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tblHeader/>
          <w:jc w:val="center"/>
        </w:trPr>
        <w:tc>
          <w:tcPr>
            <w:tcW w:w="167" w:type="pct"/>
            <w:tcBorders>
              <w:tl2br w:val="nil"/>
              <w:tr2bl w:val="nil"/>
            </w:tcBorders>
            <w:noWrap w:val="0"/>
            <w:vAlign w:val="center"/>
          </w:tcPr>
          <w:p>
            <w:pPr>
              <w:pStyle w:val="7"/>
              <w:widowControl w:val="0"/>
              <w:adjustRightInd w:val="0"/>
              <w:snapToGrid w:val="0"/>
              <w:spacing w:before="0" w:beforeAutospacing="0" w:after="0" w:afterAutospacing="0" w:line="260" w:lineRule="exact"/>
              <w:rPr>
                <w:rFonts w:ascii="Times New Roman" w:hAnsi="Times New Roman" w:cs="Times New Roman"/>
                <w:b/>
                <w:bCs/>
                <w:sz w:val="21"/>
                <w:szCs w:val="21"/>
              </w:rPr>
            </w:pPr>
            <w:r>
              <w:rPr>
                <w:rFonts w:hint="eastAsia" w:ascii="Times New Roman" w:hAnsi="Times New Roman" w:cs="Times New Roman"/>
                <w:b/>
                <w:bCs/>
                <w:sz w:val="21"/>
                <w:szCs w:val="21"/>
              </w:rPr>
              <w:t>序号</w:t>
            </w:r>
          </w:p>
        </w:tc>
        <w:tc>
          <w:tcPr>
            <w:tcW w:w="360" w:type="pct"/>
            <w:tcBorders>
              <w:tl2br w:val="nil"/>
              <w:tr2bl w:val="nil"/>
            </w:tcBorders>
            <w:noWrap w:val="0"/>
            <w:vAlign w:val="center"/>
          </w:tcPr>
          <w:p>
            <w:pPr>
              <w:pStyle w:val="7"/>
              <w:widowControl w:val="0"/>
              <w:adjustRightInd w:val="0"/>
              <w:snapToGrid w:val="0"/>
              <w:spacing w:before="0" w:beforeAutospacing="0" w:after="0" w:afterAutospacing="0" w:line="260" w:lineRule="exact"/>
              <w:rPr>
                <w:rFonts w:ascii="Times New Roman" w:hAnsi="Times New Roman" w:cs="Times New Roman"/>
                <w:b/>
                <w:bCs/>
                <w:sz w:val="21"/>
                <w:szCs w:val="21"/>
              </w:rPr>
            </w:pPr>
            <w:r>
              <w:rPr>
                <w:rFonts w:hint="eastAsia" w:ascii="Times New Roman" w:hAnsi="Times New Roman" w:cs="Times New Roman"/>
                <w:b/>
                <w:bCs/>
                <w:sz w:val="21"/>
                <w:szCs w:val="21"/>
              </w:rPr>
              <w:t>一级指标</w:t>
            </w:r>
          </w:p>
        </w:tc>
        <w:tc>
          <w:tcPr>
            <w:tcW w:w="535" w:type="pct"/>
            <w:tcBorders>
              <w:tl2br w:val="nil"/>
              <w:tr2bl w:val="nil"/>
            </w:tcBorders>
            <w:noWrap w:val="0"/>
            <w:vAlign w:val="center"/>
          </w:tcPr>
          <w:p>
            <w:pPr>
              <w:pStyle w:val="7"/>
              <w:widowControl w:val="0"/>
              <w:adjustRightInd w:val="0"/>
              <w:snapToGrid w:val="0"/>
              <w:spacing w:before="0" w:beforeAutospacing="0" w:after="0" w:afterAutospacing="0" w:line="260" w:lineRule="exact"/>
              <w:rPr>
                <w:rFonts w:ascii="Times New Roman" w:hAnsi="Times New Roman" w:cs="Times New Roman"/>
                <w:b/>
                <w:bCs/>
                <w:sz w:val="21"/>
                <w:szCs w:val="21"/>
              </w:rPr>
            </w:pPr>
            <w:r>
              <w:rPr>
                <w:rFonts w:hint="eastAsia" w:ascii="Times New Roman" w:hAnsi="Times New Roman" w:cs="Times New Roman"/>
                <w:b/>
                <w:bCs/>
                <w:sz w:val="21"/>
                <w:szCs w:val="21"/>
              </w:rPr>
              <w:t>二级指标</w:t>
            </w:r>
          </w:p>
        </w:tc>
        <w:tc>
          <w:tcPr>
            <w:tcW w:w="1114" w:type="pct"/>
            <w:tcBorders>
              <w:tl2br w:val="nil"/>
              <w:tr2bl w:val="nil"/>
            </w:tcBorders>
            <w:noWrap w:val="0"/>
            <w:vAlign w:val="center"/>
          </w:tcPr>
          <w:p>
            <w:pPr>
              <w:pStyle w:val="7"/>
              <w:widowControl w:val="0"/>
              <w:adjustRightInd w:val="0"/>
              <w:snapToGrid w:val="0"/>
              <w:spacing w:before="0" w:beforeAutospacing="0" w:after="0" w:afterAutospacing="0" w:line="260" w:lineRule="exact"/>
              <w:rPr>
                <w:rFonts w:ascii="Times New Roman" w:hAnsi="Times New Roman" w:cs="Times New Roman"/>
                <w:b/>
                <w:bCs/>
                <w:sz w:val="21"/>
                <w:szCs w:val="21"/>
              </w:rPr>
            </w:pPr>
            <w:r>
              <w:rPr>
                <w:rFonts w:hint="eastAsia" w:ascii="Times New Roman" w:hAnsi="Times New Roman" w:cs="Times New Roman"/>
                <w:b/>
                <w:bCs/>
                <w:sz w:val="21"/>
                <w:szCs w:val="21"/>
              </w:rPr>
              <w:t>三级指标</w:t>
            </w:r>
          </w:p>
        </w:tc>
        <w:tc>
          <w:tcPr>
            <w:tcW w:w="405" w:type="pct"/>
            <w:tcBorders>
              <w:tl2br w:val="nil"/>
              <w:tr2bl w:val="nil"/>
            </w:tcBorders>
            <w:noWrap w:val="0"/>
            <w:vAlign w:val="center"/>
          </w:tcPr>
          <w:p>
            <w:pPr>
              <w:pStyle w:val="7"/>
              <w:widowControl w:val="0"/>
              <w:adjustRightInd w:val="0"/>
              <w:snapToGrid w:val="0"/>
              <w:spacing w:before="0" w:beforeAutospacing="0" w:after="0" w:afterAutospacing="0" w:line="260" w:lineRule="exact"/>
              <w:rPr>
                <w:rFonts w:ascii="Times New Roman" w:hAnsi="Times New Roman" w:cs="Times New Roman"/>
                <w:b/>
                <w:bCs/>
                <w:sz w:val="21"/>
                <w:szCs w:val="21"/>
              </w:rPr>
            </w:pPr>
            <w:r>
              <w:rPr>
                <w:rFonts w:hint="eastAsia" w:ascii="Times New Roman" w:hAnsi="Times New Roman" w:cs="Times New Roman"/>
                <w:b/>
                <w:bCs/>
                <w:sz w:val="21"/>
                <w:szCs w:val="21"/>
              </w:rPr>
              <w:t>单位</w:t>
            </w:r>
          </w:p>
        </w:tc>
        <w:tc>
          <w:tcPr>
            <w:tcW w:w="456" w:type="pct"/>
            <w:tcBorders>
              <w:tl2br w:val="nil"/>
              <w:tr2bl w:val="nil"/>
            </w:tcBorders>
            <w:noWrap w:val="0"/>
            <w:vAlign w:val="center"/>
          </w:tcPr>
          <w:p>
            <w:pPr>
              <w:pStyle w:val="7"/>
              <w:widowControl w:val="0"/>
              <w:adjustRightInd w:val="0"/>
              <w:snapToGrid w:val="0"/>
              <w:spacing w:before="0" w:beforeAutospacing="0" w:after="0" w:afterAutospacing="0" w:line="260" w:lineRule="exact"/>
              <w:rPr>
                <w:rFonts w:ascii="Times New Roman" w:hAnsi="Times New Roman" w:cs="Times New Roman"/>
                <w:b/>
                <w:bCs/>
                <w:sz w:val="21"/>
                <w:szCs w:val="21"/>
              </w:rPr>
            </w:pPr>
            <w:r>
              <w:rPr>
                <w:rFonts w:hint="eastAsia" w:ascii="Times New Roman" w:hAnsi="Times New Roman" w:cs="Times New Roman"/>
                <w:b/>
                <w:bCs/>
                <w:sz w:val="21"/>
                <w:szCs w:val="21"/>
              </w:rPr>
              <w:t>现状值</w:t>
            </w:r>
          </w:p>
          <w:p>
            <w:pPr>
              <w:pStyle w:val="7"/>
              <w:widowControl w:val="0"/>
              <w:adjustRightInd w:val="0"/>
              <w:snapToGrid w:val="0"/>
              <w:spacing w:before="0" w:beforeAutospacing="0" w:after="0" w:afterAutospacing="0" w:line="260" w:lineRule="exact"/>
              <w:rPr>
                <w:rFonts w:ascii="Times New Roman" w:hAnsi="Times New Roman" w:cs="Times New Roman"/>
                <w:b/>
                <w:bCs/>
                <w:sz w:val="21"/>
                <w:szCs w:val="21"/>
              </w:rPr>
            </w:pPr>
            <w:r>
              <w:rPr>
                <w:rFonts w:hint="eastAsia" w:ascii="Times New Roman" w:hAnsi="Times New Roman" w:cs="Times New Roman"/>
                <w:b/>
                <w:bCs/>
                <w:sz w:val="21"/>
                <w:szCs w:val="21"/>
              </w:rPr>
              <w:t>（</w:t>
            </w:r>
            <w:r>
              <w:rPr>
                <w:rFonts w:ascii="Times New Roman" w:hAnsi="Times New Roman" w:cs="Times New Roman"/>
                <w:b/>
                <w:bCs/>
                <w:sz w:val="21"/>
                <w:szCs w:val="21"/>
              </w:rPr>
              <w:t>2022</w:t>
            </w:r>
            <w:r>
              <w:rPr>
                <w:rFonts w:hint="eastAsia" w:ascii="Times New Roman" w:hAnsi="Times New Roman" w:cs="Times New Roman"/>
                <w:b/>
                <w:bCs/>
                <w:sz w:val="21"/>
                <w:szCs w:val="21"/>
              </w:rPr>
              <w:t>年）</w:t>
            </w:r>
          </w:p>
        </w:tc>
        <w:tc>
          <w:tcPr>
            <w:tcW w:w="456" w:type="pct"/>
            <w:tcBorders>
              <w:tl2br w:val="nil"/>
              <w:tr2bl w:val="nil"/>
            </w:tcBorders>
            <w:noWrap w:val="0"/>
            <w:vAlign w:val="center"/>
          </w:tcPr>
          <w:p>
            <w:pPr>
              <w:pStyle w:val="7"/>
              <w:widowControl w:val="0"/>
              <w:adjustRightInd w:val="0"/>
              <w:snapToGrid w:val="0"/>
              <w:spacing w:before="0" w:beforeAutospacing="0" w:after="0" w:afterAutospacing="0" w:line="260" w:lineRule="exact"/>
              <w:rPr>
                <w:rFonts w:ascii="Times New Roman" w:hAnsi="Times New Roman" w:cs="Times New Roman"/>
                <w:b/>
                <w:bCs/>
                <w:sz w:val="21"/>
                <w:szCs w:val="21"/>
              </w:rPr>
            </w:pPr>
            <w:r>
              <w:rPr>
                <w:rFonts w:hint="eastAsia" w:ascii="Times New Roman" w:hAnsi="Times New Roman" w:cs="Times New Roman"/>
                <w:b/>
                <w:bCs/>
                <w:sz w:val="21"/>
                <w:szCs w:val="21"/>
              </w:rPr>
              <w:t>目标值</w:t>
            </w:r>
          </w:p>
          <w:p>
            <w:pPr>
              <w:pStyle w:val="7"/>
              <w:widowControl w:val="0"/>
              <w:adjustRightInd w:val="0"/>
              <w:snapToGrid w:val="0"/>
              <w:spacing w:before="0" w:beforeAutospacing="0" w:after="0" w:afterAutospacing="0" w:line="260" w:lineRule="exact"/>
              <w:rPr>
                <w:rFonts w:ascii="Times New Roman" w:hAnsi="Times New Roman" w:cs="Times New Roman"/>
                <w:b/>
                <w:bCs/>
                <w:sz w:val="21"/>
                <w:szCs w:val="21"/>
              </w:rPr>
            </w:pPr>
            <w:r>
              <w:rPr>
                <w:rFonts w:hint="eastAsia" w:ascii="Times New Roman" w:hAnsi="Times New Roman" w:cs="Times New Roman"/>
                <w:b/>
                <w:bCs/>
                <w:sz w:val="21"/>
                <w:szCs w:val="21"/>
              </w:rPr>
              <w:t>（</w:t>
            </w:r>
            <w:r>
              <w:rPr>
                <w:rFonts w:ascii="Times New Roman" w:hAnsi="Times New Roman" w:cs="Times New Roman"/>
                <w:b/>
                <w:bCs/>
                <w:sz w:val="21"/>
                <w:szCs w:val="21"/>
              </w:rPr>
              <w:t>2025</w:t>
            </w:r>
            <w:r>
              <w:rPr>
                <w:rFonts w:hint="eastAsia" w:ascii="Times New Roman" w:hAnsi="Times New Roman" w:cs="Times New Roman"/>
                <w:b/>
                <w:bCs/>
                <w:sz w:val="21"/>
                <w:szCs w:val="21"/>
              </w:rPr>
              <w:t>年）</w:t>
            </w:r>
          </w:p>
        </w:tc>
        <w:tc>
          <w:tcPr>
            <w:tcW w:w="506" w:type="pct"/>
            <w:tcBorders>
              <w:tl2br w:val="nil"/>
              <w:tr2bl w:val="nil"/>
            </w:tcBorders>
            <w:noWrap w:val="0"/>
            <w:vAlign w:val="center"/>
          </w:tcPr>
          <w:p>
            <w:pPr>
              <w:pStyle w:val="7"/>
              <w:widowControl w:val="0"/>
              <w:adjustRightInd w:val="0"/>
              <w:snapToGrid w:val="0"/>
              <w:spacing w:before="0" w:beforeAutospacing="0" w:after="0" w:afterAutospacing="0" w:line="260" w:lineRule="exact"/>
              <w:rPr>
                <w:rFonts w:ascii="Times New Roman" w:hAnsi="Times New Roman" w:cs="Times New Roman"/>
                <w:b/>
                <w:bCs/>
                <w:sz w:val="21"/>
                <w:szCs w:val="21"/>
              </w:rPr>
            </w:pPr>
            <w:r>
              <w:rPr>
                <w:rFonts w:hint="eastAsia" w:ascii="Times New Roman" w:hAnsi="Times New Roman" w:cs="Times New Roman"/>
                <w:b/>
                <w:bCs/>
                <w:sz w:val="21"/>
                <w:szCs w:val="21"/>
              </w:rPr>
              <w:t>责任部门</w:t>
            </w:r>
          </w:p>
        </w:tc>
        <w:tc>
          <w:tcPr>
            <w:tcW w:w="1001" w:type="pct"/>
            <w:tcBorders>
              <w:tl2br w:val="nil"/>
              <w:tr2bl w:val="nil"/>
            </w:tcBorders>
            <w:noWrap w:val="0"/>
            <w:vAlign w:val="center"/>
          </w:tcPr>
          <w:p>
            <w:pPr>
              <w:pStyle w:val="7"/>
              <w:widowControl w:val="0"/>
              <w:adjustRightInd w:val="0"/>
              <w:snapToGrid w:val="0"/>
              <w:spacing w:before="0" w:beforeAutospacing="0" w:after="0" w:afterAutospacing="0" w:line="260" w:lineRule="exact"/>
              <w:rPr>
                <w:rFonts w:ascii="Times New Roman" w:hAnsi="Times New Roman" w:cs="Times New Roman"/>
                <w:b/>
                <w:bCs/>
                <w:sz w:val="21"/>
                <w:szCs w:val="21"/>
              </w:rPr>
            </w:pPr>
            <w:r>
              <w:rPr>
                <w:rFonts w:hint="eastAsia" w:ascii="Times New Roman" w:hAnsi="Times New Roman" w:cs="Times New Roman"/>
                <w:b/>
                <w:bCs/>
                <w:sz w:val="21"/>
                <w:szCs w:val="21"/>
              </w:rPr>
              <w:t>目标值来源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67" w:type="pct"/>
            <w:tcBorders>
              <w:tl2br w:val="nil"/>
              <w:tr2bl w:val="nil"/>
            </w:tcBorders>
            <w:noWrap w:val="0"/>
            <w:vAlign w:val="center"/>
          </w:tcPr>
          <w:p>
            <w:pPr>
              <w:pStyle w:val="7"/>
              <w:widowControl w:val="0"/>
              <w:numPr>
                <w:ilvl w:val="0"/>
                <w:numId w:val="1"/>
              </w:numPr>
              <w:tabs>
                <w:tab w:val="left" w:pos="210"/>
              </w:tabs>
              <w:adjustRightInd w:val="0"/>
              <w:snapToGrid w:val="0"/>
              <w:spacing w:before="0" w:beforeAutospacing="0" w:after="0" w:afterAutospacing="0" w:line="260" w:lineRule="exact"/>
              <w:rPr>
                <w:rFonts w:ascii="Times New Roman" w:hAnsi="Times New Roman" w:cs="Times New Roman"/>
                <w:sz w:val="21"/>
                <w:szCs w:val="21"/>
              </w:rPr>
            </w:pPr>
          </w:p>
        </w:tc>
        <w:tc>
          <w:tcPr>
            <w:tcW w:w="360" w:type="pct"/>
            <w:vMerge w:val="restart"/>
            <w:tcBorders>
              <w:tl2br w:val="nil"/>
              <w:tr2bl w:val="nil"/>
            </w:tcBorders>
            <w:noWrap w:val="0"/>
            <w:vAlign w:val="center"/>
          </w:tcPr>
          <w:p>
            <w:pPr>
              <w:pStyle w:val="7"/>
              <w:widowControl w:val="0"/>
              <w:adjustRightInd w:val="0"/>
              <w:snapToGrid w:val="0"/>
              <w:spacing w:before="0" w:beforeAutospacing="0" w:after="0" w:afterAutospacing="0" w:line="260" w:lineRule="exact"/>
              <w:rPr>
                <w:rFonts w:ascii="Times New Roman" w:hAnsi="Times New Roman" w:cs="Times New Roman"/>
                <w:spacing w:val="-6"/>
                <w:sz w:val="21"/>
                <w:szCs w:val="21"/>
              </w:rPr>
            </w:pPr>
            <w:r>
              <w:rPr>
                <w:rFonts w:hint="eastAsia" w:ascii="Times New Roman" w:hAnsi="Times New Roman" w:cs="Times New Roman"/>
                <w:spacing w:val="-6"/>
                <w:sz w:val="21"/>
                <w:szCs w:val="21"/>
              </w:rPr>
              <w:t>固体废物源头减量</w:t>
            </w:r>
          </w:p>
        </w:tc>
        <w:tc>
          <w:tcPr>
            <w:tcW w:w="535" w:type="pct"/>
            <w:vMerge w:val="restart"/>
            <w:tcBorders>
              <w:tl2br w:val="nil"/>
              <w:tr2bl w:val="nil"/>
            </w:tcBorders>
            <w:noWrap w:val="0"/>
            <w:vAlign w:val="center"/>
          </w:tcPr>
          <w:p>
            <w:pPr>
              <w:pStyle w:val="7"/>
              <w:widowControl w:val="0"/>
              <w:adjustRightInd w:val="0"/>
              <w:snapToGrid w:val="0"/>
              <w:spacing w:before="0" w:beforeAutospacing="0" w:after="0" w:afterAutospacing="0" w:line="260" w:lineRule="exact"/>
              <w:rPr>
                <w:rFonts w:ascii="Times New Roman" w:hAnsi="Times New Roman" w:cs="Times New Roman"/>
                <w:sz w:val="21"/>
                <w:szCs w:val="21"/>
              </w:rPr>
            </w:pPr>
            <w:r>
              <w:rPr>
                <w:rFonts w:hint="eastAsia" w:ascii="Times New Roman" w:hAnsi="Times New Roman" w:cs="Times New Roman"/>
                <w:sz w:val="21"/>
                <w:szCs w:val="21"/>
              </w:rPr>
              <w:t>工业源头减量</w:t>
            </w:r>
          </w:p>
        </w:tc>
        <w:tc>
          <w:tcPr>
            <w:tcW w:w="1114" w:type="pct"/>
            <w:tcBorders>
              <w:tl2br w:val="nil"/>
              <w:tr2bl w:val="nil"/>
            </w:tcBorders>
            <w:noWrap w:val="0"/>
            <w:vAlign w:val="center"/>
          </w:tcPr>
          <w:p>
            <w:pPr>
              <w:pStyle w:val="7"/>
              <w:widowControl w:val="0"/>
              <w:adjustRightInd w:val="0"/>
              <w:snapToGrid w:val="0"/>
              <w:spacing w:before="0" w:beforeAutospacing="0" w:after="0" w:afterAutospacing="0" w:line="260" w:lineRule="exact"/>
              <w:rPr>
                <w:rFonts w:ascii="Times New Roman" w:hAnsi="Times New Roman" w:cs="Times New Roman"/>
                <w:sz w:val="21"/>
                <w:szCs w:val="21"/>
              </w:rPr>
            </w:pPr>
            <w:r>
              <w:rPr>
                <w:rFonts w:hint="eastAsia" w:ascii="Times New Roman" w:hAnsi="Times New Roman" w:cs="Times New Roman"/>
                <w:sz w:val="21"/>
                <w:szCs w:val="21"/>
              </w:rPr>
              <w:t>一般工业固体废物产生强度</w:t>
            </w:r>
            <w:r>
              <w:rPr>
                <w:rFonts w:hint="eastAsia" w:ascii="Segoe UI Symbol" w:hAnsi="Segoe UI Symbol" w:cs="Segoe UI Symbol"/>
                <w:sz w:val="21"/>
                <w:szCs w:val="21"/>
              </w:rPr>
              <w:t>★</w:t>
            </w:r>
          </w:p>
        </w:tc>
        <w:tc>
          <w:tcPr>
            <w:tcW w:w="405" w:type="pct"/>
            <w:tcBorders>
              <w:tl2br w:val="nil"/>
              <w:tr2bl w:val="nil"/>
            </w:tcBorders>
            <w:noWrap w:val="0"/>
            <w:vAlign w:val="center"/>
          </w:tcPr>
          <w:p>
            <w:pPr>
              <w:pStyle w:val="7"/>
              <w:widowControl w:val="0"/>
              <w:adjustRightInd w:val="0"/>
              <w:snapToGrid w:val="0"/>
              <w:spacing w:before="0" w:beforeAutospacing="0" w:after="0" w:afterAutospacing="0" w:line="260" w:lineRule="exact"/>
              <w:rPr>
                <w:rFonts w:ascii="Times New Roman" w:hAnsi="Times New Roman" w:cs="Times New Roman"/>
                <w:sz w:val="21"/>
                <w:szCs w:val="21"/>
              </w:rPr>
            </w:pPr>
            <w:r>
              <w:rPr>
                <w:rFonts w:hint="eastAsia" w:ascii="Times New Roman" w:hAnsi="Times New Roman" w:cs="Times New Roman"/>
                <w:sz w:val="21"/>
                <w:szCs w:val="21"/>
              </w:rPr>
              <w:t>吨</w:t>
            </w:r>
            <w:r>
              <w:rPr>
                <w:rFonts w:ascii="Times New Roman" w:hAnsi="Times New Roman" w:cs="Times New Roman"/>
                <w:sz w:val="21"/>
                <w:szCs w:val="21"/>
              </w:rPr>
              <w:t>/</w:t>
            </w:r>
            <w:r>
              <w:rPr>
                <w:rFonts w:hint="eastAsia" w:ascii="Times New Roman" w:hAnsi="Times New Roman" w:cs="Times New Roman"/>
                <w:sz w:val="21"/>
                <w:szCs w:val="21"/>
              </w:rPr>
              <w:t>万元</w:t>
            </w:r>
          </w:p>
        </w:tc>
        <w:tc>
          <w:tcPr>
            <w:tcW w:w="456" w:type="pct"/>
            <w:tcBorders>
              <w:tl2br w:val="nil"/>
              <w:tr2bl w:val="nil"/>
            </w:tcBorders>
            <w:noWrap w:val="0"/>
            <w:vAlign w:val="center"/>
          </w:tcPr>
          <w:p>
            <w:pPr>
              <w:pStyle w:val="7"/>
              <w:widowControl w:val="0"/>
              <w:adjustRightInd w:val="0"/>
              <w:snapToGrid w:val="0"/>
              <w:spacing w:before="0" w:beforeAutospacing="0" w:after="0" w:afterAutospacing="0" w:line="260" w:lineRule="exact"/>
              <w:rPr>
                <w:rFonts w:ascii="Times New Roman" w:hAnsi="Times New Roman" w:cs="Times New Roman"/>
                <w:sz w:val="21"/>
                <w:szCs w:val="21"/>
              </w:rPr>
            </w:pPr>
            <w:r>
              <w:rPr>
                <w:rFonts w:hint="eastAsia" w:ascii="Times New Roman" w:hAnsi="Times New Roman" w:cs="Times New Roman"/>
                <w:sz w:val="21"/>
                <w:szCs w:val="21"/>
              </w:rPr>
              <w:t>0</w:t>
            </w:r>
            <w:r>
              <w:rPr>
                <w:rFonts w:ascii="Times New Roman" w:hAnsi="Times New Roman" w:cs="Times New Roman"/>
                <w:sz w:val="21"/>
                <w:szCs w:val="21"/>
              </w:rPr>
              <w:t>.</w:t>
            </w:r>
            <w:r>
              <w:rPr>
                <w:rFonts w:hint="eastAsia" w:ascii="Times New Roman" w:hAnsi="Times New Roman" w:cs="Times New Roman"/>
                <w:sz w:val="21"/>
                <w:szCs w:val="21"/>
              </w:rPr>
              <w:t>54</w:t>
            </w:r>
          </w:p>
        </w:tc>
        <w:tc>
          <w:tcPr>
            <w:tcW w:w="456" w:type="pct"/>
            <w:tcBorders>
              <w:tl2br w:val="nil"/>
              <w:tr2bl w:val="nil"/>
            </w:tcBorders>
            <w:noWrap w:val="0"/>
            <w:vAlign w:val="center"/>
          </w:tcPr>
          <w:p>
            <w:pPr>
              <w:pStyle w:val="7"/>
              <w:widowControl w:val="0"/>
              <w:adjustRightInd w:val="0"/>
              <w:snapToGrid w:val="0"/>
              <w:spacing w:before="0" w:beforeAutospacing="0" w:after="0" w:afterAutospacing="0" w:line="260" w:lineRule="exact"/>
              <w:rPr>
                <w:rFonts w:ascii="Times New Roman" w:hAnsi="Times New Roman" w:cs="Times New Roman"/>
                <w:sz w:val="21"/>
                <w:szCs w:val="21"/>
              </w:rPr>
            </w:pPr>
            <w:r>
              <w:rPr>
                <w:rFonts w:ascii="Times New Roman" w:hAnsi="Times New Roman" w:cs="Times New Roman"/>
                <w:sz w:val="21"/>
                <w:szCs w:val="21"/>
              </w:rPr>
              <w:t>0.55</w:t>
            </w:r>
          </w:p>
        </w:tc>
        <w:tc>
          <w:tcPr>
            <w:tcW w:w="506" w:type="pct"/>
            <w:tcBorders>
              <w:tl2br w:val="nil"/>
              <w:tr2bl w:val="nil"/>
            </w:tcBorders>
            <w:noWrap w:val="0"/>
            <w:vAlign w:val="center"/>
          </w:tcPr>
          <w:p>
            <w:pPr>
              <w:pStyle w:val="7"/>
              <w:widowControl w:val="0"/>
              <w:adjustRightInd w:val="0"/>
              <w:snapToGrid w:val="0"/>
              <w:spacing w:before="0" w:beforeAutospacing="0" w:after="0" w:afterAutospacing="0" w:line="260" w:lineRule="exact"/>
              <w:rPr>
                <w:rFonts w:hint="eastAsia" w:ascii="Times New Roman" w:hAnsi="Times New Roman" w:eastAsia="宋体" w:cs="Times New Roman"/>
                <w:sz w:val="21"/>
                <w:szCs w:val="21"/>
                <w:lang w:eastAsia="zh-CN"/>
              </w:rPr>
            </w:pPr>
            <w:r>
              <w:rPr>
                <w:rFonts w:hint="eastAsia" w:ascii="Times New Roman" w:hAnsi="Times New Roman" w:cs="Times New Roman"/>
                <w:sz w:val="21"/>
                <w:szCs w:val="21"/>
              </w:rPr>
              <w:t>市生态环境局、</w:t>
            </w:r>
            <w:r>
              <w:rPr>
                <w:rFonts w:hint="eastAsia" w:ascii="Times New Roman" w:hAnsi="Times New Roman" w:cs="Times New Roman"/>
                <w:sz w:val="21"/>
                <w:szCs w:val="21"/>
                <w:lang w:eastAsia="zh-CN"/>
              </w:rPr>
              <w:t>市工业和信息化局</w:t>
            </w:r>
          </w:p>
        </w:tc>
        <w:tc>
          <w:tcPr>
            <w:tcW w:w="1001" w:type="pct"/>
            <w:tcBorders>
              <w:tl2br w:val="nil"/>
              <w:tr2bl w:val="nil"/>
            </w:tcBorders>
            <w:noWrap w:val="0"/>
            <w:vAlign w:val="center"/>
          </w:tcPr>
          <w:p>
            <w:pPr>
              <w:pStyle w:val="7"/>
              <w:widowControl w:val="0"/>
              <w:adjustRightInd w:val="0"/>
              <w:snapToGrid w:val="0"/>
              <w:spacing w:before="0" w:beforeAutospacing="0" w:after="0" w:afterAutospacing="0" w:line="260" w:lineRule="exact"/>
              <w:jc w:val="both"/>
              <w:rPr>
                <w:rFonts w:ascii="Times New Roman" w:hAnsi="Times New Roman" w:cs="Times New Roman"/>
                <w:sz w:val="21"/>
                <w:szCs w:val="21"/>
              </w:rPr>
            </w:pPr>
            <w:r>
              <w:rPr>
                <w:rFonts w:hint="eastAsia" w:ascii="Times New Roman" w:hAnsi="Times New Roman" w:cs="Times New Roman"/>
                <w:sz w:val="21"/>
                <w:szCs w:val="21"/>
              </w:rPr>
              <w:t>根据无废城市建设“三化要求”，并结合汕尾市一般工业固废和工业增加值增长预测分析确定。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67" w:type="pct"/>
            <w:tcBorders>
              <w:tl2br w:val="nil"/>
              <w:tr2bl w:val="nil"/>
            </w:tcBorders>
            <w:noWrap w:val="0"/>
            <w:vAlign w:val="center"/>
          </w:tcPr>
          <w:p>
            <w:pPr>
              <w:pStyle w:val="7"/>
              <w:widowControl w:val="0"/>
              <w:numPr>
                <w:ilvl w:val="0"/>
                <w:numId w:val="1"/>
              </w:numPr>
              <w:tabs>
                <w:tab w:val="left" w:pos="210"/>
              </w:tabs>
              <w:adjustRightInd w:val="0"/>
              <w:snapToGrid w:val="0"/>
              <w:spacing w:before="0" w:beforeAutospacing="0" w:after="0" w:afterAutospacing="0" w:line="260" w:lineRule="exact"/>
              <w:rPr>
                <w:rFonts w:ascii="Times New Roman" w:hAnsi="Times New Roman" w:cs="Times New Roman"/>
                <w:sz w:val="21"/>
                <w:szCs w:val="21"/>
              </w:rPr>
            </w:pPr>
          </w:p>
        </w:tc>
        <w:tc>
          <w:tcPr>
            <w:tcW w:w="360" w:type="pct"/>
            <w:vMerge w:val="continue"/>
            <w:tcBorders>
              <w:tl2br w:val="nil"/>
              <w:tr2bl w:val="nil"/>
            </w:tcBorders>
            <w:noWrap w:val="0"/>
            <w:vAlign w:val="center"/>
          </w:tcPr>
          <w:p>
            <w:pPr>
              <w:pStyle w:val="7"/>
              <w:widowControl w:val="0"/>
              <w:adjustRightInd w:val="0"/>
              <w:snapToGrid w:val="0"/>
              <w:spacing w:before="0" w:beforeAutospacing="0" w:after="0" w:afterAutospacing="0" w:line="260" w:lineRule="exact"/>
              <w:rPr>
                <w:rFonts w:ascii="Times New Roman" w:hAnsi="Times New Roman" w:cs="Times New Roman"/>
                <w:sz w:val="21"/>
                <w:szCs w:val="21"/>
              </w:rPr>
            </w:pPr>
          </w:p>
        </w:tc>
        <w:tc>
          <w:tcPr>
            <w:tcW w:w="535" w:type="pct"/>
            <w:vMerge w:val="continue"/>
            <w:tcBorders>
              <w:tl2br w:val="nil"/>
              <w:tr2bl w:val="nil"/>
            </w:tcBorders>
            <w:noWrap w:val="0"/>
            <w:vAlign w:val="center"/>
          </w:tcPr>
          <w:p>
            <w:pPr>
              <w:pStyle w:val="7"/>
              <w:widowControl w:val="0"/>
              <w:adjustRightInd w:val="0"/>
              <w:snapToGrid w:val="0"/>
              <w:spacing w:before="0" w:beforeAutospacing="0" w:after="0" w:afterAutospacing="0" w:line="260" w:lineRule="exact"/>
              <w:rPr>
                <w:rFonts w:ascii="Times New Roman" w:hAnsi="Times New Roman" w:cs="Times New Roman"/>
                <w:sz w:val="21"/>
                <w:szCs w:val="21"/>
              </w:rPr>
            </w:pPr>
          </w:p>
        </w:tc>
        <w:tc>
          <w:tcPr>
            <w:tcW w:w="1114" w:type="pct"/>
            <w:tcBorders>
              <w:tl2br w:val="nil"/>
              <w:tr2bl w:val="nil"/>
            </w:tcBorders>
            <w:noWrap w:val="0"/>
            <w:vAlign w:val="center"/>
          </w:tcPr>
          <w:p>
            <w:pPr>
              <w:pStyle w:val="7"/>
              <w:widowControl w:val="0"/>
              <w:adjustRightInd w:val="0"/>
              <w:snapToGrid w:val="0"/>
              <w:spacing w:before="0" w:beforeAutospacing="0" w:after="0" w:afterAutospacing="0" w:line="260" w:lineRule="exact"/>
              <w:rPr>
                <w:rFonts w:ascii="Times New Roman" w:hAnsi="Times New Roman" w:cs="Times New Roman"/>
                <w:sz w:val="21"/>
                <w:szCs w:val="21"/>
              </w:rPr>
            </w:pPr>
            <w:r>
              <w:rPr>
                <w:rFonts w:hint="eastAsia" w:ascii="Times New Roman" w:hAnsi="Times New Roman" w:cs="Times New Roman"/>
                <w:sz w:val="21"/>
                <w:szCs w:val="21"/>
              </w:rPr>
              <w:t>工业危险废物产生强度</w:t>
            </w:r>
            <w:r>
              <w:rPr>
                <w:rFonts w:hint="eastAsia" w:ascii="Segoe UI Symbol" w:hAnsi="Segoe UI Symbol" w:cs="Segoe UI Symbol"/>
                <w:sz w:val="21"/>
                <w:szCs w:val="21"/>
              </w:rPr>
              <w:t>★</w:t>
            </w:r>
          </w:p>
        </w:tc>
        <w:tc>
          <w:tcPr>
            <w:tcW w:w="405" w:type="pct"/>
            <w:tcBorders>
              <w:tl2br w:val="nil"/>
              <w:tr2bl w:val="nil"/>
            </w:tcBorders>
            <w:noWrap w:val="0"/>
            <w:vAlign w:val="center"/>
          </w:tcPr>
          <w:p>
            <w:pPr>
              <w:pStyle w:val="7"/>
              <w:widowControl w:val="0"/>
              <w:adjustRightInd w:val="0"/>
              <w:snapToGrid w:val="0"/>
              <w:spacing w:before="0" w:beforeAutospacing="0" w:after="0" w:afterAutospacing="0" w:line="260" w:lineRule="exact"/>
              <w:rPr>
                <w:rFonts w:ascii="Times New Roman" w:hAnsi="Times New Roman" w:cs="Times New Roman"/>
                <w:sz w:val="21"/>
                <w:szCs w:val="21"/>
              </w:rPr>
            </w:pPr>
            <w:r>
              <w:rPr>
                <w:rFonts w:ascii="Times New Roman" w:hAnsi="Times New Roman" w:cs="Times New Roman"/>
                <w:sz w:val="21"/>
                <w:szCs w:val="21"/>
              </w:rPr>
              <w:t>吨/万元</w:t>
            </w:r>
          </w:p>
        </w:tc>
        <w:tc>
          <w:tcPr>
            <w:tcW w:w="456" w:type="pct"/>
            <w:tcBorders>
              <w:tl2br w:val="nil"/>
              <w:tr2bl w:val="nil"/>
            </w:tcBorders>
            <w:noWrap w:val="0"/>
            <w:vAlign w:val="center"/>
          </w:tcPr>
          <w:p>
            <w:pPr>
              <w:pStyle w:val="7"/>
              <w:widowControl w:val="0"/>
              <w:adjustRightInd w:val="0"/>
              <w:snapToGrid w:val="0"/>
              <w:spacing w:before="0" w:beforeAutospacing="0" w:after="0" w:afterAutospacing="0" w:line="260" w:lineRule="exact"/>
              <w:rPr>
                <w:rFonts w:ascii="Times New Roman" w:hAnsi="Times New Roman" w:cs="Times New Roman"/>
                <w:sz w:val="21"/>
                <w:szCs w:val="21"/>
              </w:rPr>
            </w:pPr>
            <w:r>
              <w:rPr>
                <w:rFonts w:ascii="Times New Roman" w:hAnsi="Times New Roman" w:cs="Times New Roman"/>
                <w:sz w:val="21"/>
                <w:szCs w:val="21"/>
              </w:rPr>
              <w:t>0.0</w:t>
            </w:r>
            <w:r>
              <w:rPr>
                <w:rFonts w:hint="eastAsia" w:ascii="Times New Roman" w:hAnsi="Times New Roman" w:cs="Times New Roman"/>
                <w:sz w:val="21"/>
                <w:szCs w:val="21"/>
              </w:rPr>
              <w:t>04</w:t>
            </w:r>
          </w:p>
        </w:tc>
        <w:tc>
          <w:tcPr>
            <w:tcW w:w="456" w:type="pct"/>
            <w:tcBorders>
              <w:tl2br w:val="nil"/>
              <w:tr2bl w:val="nil"/>
            </w:tcBorders>
            <w:noWrap w:val="0"/>
            <w:vAlign w:val="center"/>
          </w:tcPr>
          <w:p>
            <w:pPr>
              <w:pStyle w:val="7"/>
              <w:widowControl w:val="0"/>
              <w:adjustRightInd w:val="0"/>
              <w:snapToGrid w:val="0"/>
              <w:spacing w:before="0" w:beforeAutospacing="0" w:after="0" w:afterAutospacing="0" w:line="260" w:lineRule="exact"/>
              <w:rPr>
                <w:rFonts w:ascii="Times New Roman" w:hAnsi="Times New Roman" w:cs="Times New Roman"/>
                <w:sz w:val="21"/>
                <w:szCs w:val="21"/>
              </w:rPr>
            </w:pPr>
            <w:r>
              <w:rPr>
                <w:rFonts w:ascii="Times New Roman" w:hAnsi="Times New Roman" w:cs="Times New Roman"/>
                <w:sz w:val="21"/>
                <w:szCs w:val="21"/>
              </w:rPr>
              <w:t>0.006</w:t>
            </w:r>
          </w:p>
        </w:tc>
        <w:tc>
          <w:tcPr>
            <w:tcW w:w="506" w:type="pct"/>
            <w:tcBorders>
              <w:tl2br w:val="nil"/>
              <w:tr2bl w:val="nil"/>
            </w:tcBorders>
            <w:noWrap w:val="0"/>
            <w:vAlign w:val="center"/>
          </w:tcPr>
          <w:p>
            <w:pPr>
              <w:pStyle w:val="7"/>
              <w:widowControl w:val="0"/>
              <w:adjustRightInd w:val="0"/>
              <w:snapToGrid w:val="0"/>
              <w:spacing w:before="0" w:beforeAutospacing="0" w:after="0" w:afterAutospacing="0" w:line="260" w:lineRule="exact"/>
              <w:rPr>
                <w:rFonts w:ascii="Times New Roman" w:hAnsi="Times New Roman" w:cs="Times New Roman"/>
                <w:sz w:val="21"/>
                <w:szCs w:val="21"/>
              </w:rPr>
            </w:pPr>
            <w:r>
              <w:rPr>
                <w:rFonts w:hint="eastAsia" w:ascii="Times New Roman" w:hAnsi="Times New Roman" w:cs="Times New Roman"/>
                <w:sz w:val="21"/>
                <w:szCs w:val="21"/>
              </w:rPr>
              <w:t>市生态环境局</w:t>
            </w:r>
          </w:p>
        </w:tc>
        <w:tc>
          <w:tcPr>
            <w:tcW w:w="1001" w:type="pct"/>
            <w:tcBorders>
              <w:tl2br w:val="nil"/>
              <w:tr2bl w:val="nil"/>
            </w:tcBorders>
            <w:noWrap w:val="0"/>
            <w:vAlign w:val="center"/>
          </w:tcPr>
          <w:p>
            <w:pPr>
              <w:pStyle w:val="7"/>
              <w:widowControl w:val="0"/>
              <w:adjustRightInd w:val="0"/>
              <w:snapToGrid w:val="0"/>
              <w:spacing w:before="0" w:beforeAutospacing="0" w:after="0" w:afterAutospacing="0" w:line="260" w:lineRule="exact"/>
              <w:jc w:val="both"/>
              <w:rPr>
                <w:rFonts w:ascii="Times New Roman" w:hAnsi="Times New Roman" w:cs="Times New Roman"/>
                <w:sz w:val="21"/>
                <w:szCs w:val="21"/>
              </w:rPr>
            </w:pPr>
            <w:r>
              <w:rPr>
                <w:rFonts w:hint="eastAsia" w:ascii="Times New Roman" w:hAnsi="Times New Roman" w:cs="Times New Roman"/>
                <w:sz w:val="21"/>
                <w:szCs w:val="21"/>
              </w:rPr>
              <w:t>根据无废城市建设“三化要求”，并结合汕尾市工业危险废物和工业增加值增长预测分析确定。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67" w:type="pct"/>
            <w:tcBorders>
              <w:tl2br w:val="nil"/>
              <w:tr2bl w:val="nil"/>
            </w:tcBorders>
            <w:noWrap w:val="0"/>
            <w:vAlign w:val="center"/>
          </w:tcPr>
          <w:p>
            <w:pPr>
              <w:pStyle w:val="7"/>
              <w:widowControl w:val="0"/>
              <w:numPr>
                <w:ilvl w:val="0"/>
                <w:numId w:val="1"/>
              </w:numPr>
              <w:tabs>
                <w:tab w:val="left" w:pos="210"/>
              </w:tabs>
              <w:adjustRightInd w:val="0"/>
              <w:snapToGrid w:val="0"/>
              <w:spacing w:before="0" w:beforeAutospacing="0" w:after="0" w:afterAutospacing="0" w:line="260" w:lineRule="exact"/>
              <w:rPr>
                <w:rFonts w:ascii="Times New Roman" w:hAnsi="Times New Roman" w:cs="Times New Roman"/>
                <w:sz w:val="21"/>
                <w:szCs w:val="21"/>
              </w:rPr>
            </w:pPr>
          </w:p>
        </w:tc>
        <w:tc>
          <w:tcPr>
            <w:tcW w:w="360" w:type="pct"/>
            <w:vMerge w:val="continue"/>
            <w:tcBorders>
              <w:tl2br w:val="nil"/>
              <w:tr2bl w:val="nil"/>
            </w:tcBorders>
            <w:noWrap w:val="0"/>
            <w:vAlign w:val="center"/>
          </w:tcPr>
          <w:p>
            <w:pPr>
              <w:pStyle w:val="7"/>
              <w:widowControl w:val="0"/>
              <w:adjustRightInd w:val="0"/>
              <w:snapToGrid w:val="0"/>
              <w:spacing w:before="0" w:beforeAutospacing="0" w:after="0" w:afterAutospacing="0" w:line="260" w:lineRule="exact"/>
              <w:rPr>
                <w:rFonts w:ascii="Times New Roman" w:hAnsi="Times New Roman" w:cs="Times New Roman"/>
                <w:sz w:val="21"/>
                <w:szCs w:val="21"/>
              </w:rPr>
            </w:pPr>
          </w:p>
        </w:tc>
        <w:tc>
          <w:tcPr>
            <w:tcW w:w="535" w:type="pct"/>
            <w:vMerge w:val="continue"/>
            <w:tcBorders>
              <w:tl2br w:val="nil"/>
              <w:tr2bl w:val="nil"/>
            </w:tcBorders>
            <w:noWrap w:val="0"/>
            <w:vAlign w:val="center"/>
          </w:tcPr>
          <w:p>
            <w:pPr>
              <w:pStyle w:val="7"/>
              <w:widowControl w:val="0"/>
              <w:adjustRightInd w:val="0"/>
              <w:snapToGrid w:val="0"/>
              <w:spacing w:before="0" w:beforeAutospacing="0" w:after="0" w:afterAutospacing="0" w:line="260" w:lineRule="exact"/>
              <w:rPr>
                <w:rFonts w:ascii="Times New Roman" w:hAnsi="Times New Roman" w:cs="Times New Roman"/>
                <w:sz w:val="21"/>
                <w:szCs w:val="21"/>
              </w:rPr>
            </w:pPr>
          </w:p>
        </w:tc>
        <w:tc>
          <w:tcPr>
            <w:tcW w:w="1114" w:type="pct"/>
            <w:tcBorders>
              <w:tl2br w:val="nil"/>
              <w:tr2bl w:val="nil"/>
            </w:tcBorders>
            <w:noWrap w:val="0"/>
            <w:vAlign w:val="center"/>
          </w:tcPr>
          <w:p>
            <w:pPr>
              <w:pStyle w:val="7"/>
              <w:widowControl w:val="0"/>
              <w:adjustRightInd w:val="0"/>
              <w:snapToGrid w:val="0"/>
              <w:spacing w:before="0" w:beforeAutospacing="0" w:after="0" w:afterAutospacing="0" w:line="260" w:lineRule="exact"/>
              <w:rPr>
                <w:rFonts w:ascii="Times New Roman" w:hAnsi="Times New Roman" w:cs="Times New Roman"/>
                <w:sz w:val="21"/>
                <w:szCs w:val="21"/>
              </w:rPr>
            </w:pPr>
            <w:r>
              <w:rPr>
                <w:rFonts w:hint="eastAsia" w:ascii="Times New Roman" w:hAnsi="Times New Roman" w:cs="Times New Roman"/>
                <w:sz w:val="21"/>
                <w:szCs w:val="21"/>
              </w:rPr>
              <w:t>通过清洁生产审核评估工业企业占比</w:t>
            </w:r>
            <w:r>
              <w:rPr>
                <w:rFonts w:hint="eastAsia" w:ascii="Segoe UI Symbol" w:hAnsi="Segoe UI Symbol" w:cs="Segoe UI Symbol"/>
                <w:sz w:val="21"/>
                <w:szCs w:val="21"/>
              </w:rPr>
              <w:t>★</w:t>
            </w:r>
          </w:p>
        </w:tc>
        <w:tc>
          <w:tcPr>
            <w:tcW w:w="405" w:type="pct"/>
            <w:tcBorders>
              <w:tl2br w:val="nil"/>
              <w:tr2bl w:val="nil"/>
            </w:tcBorders>
            <w:noWrap w:val="0"/>
            <w:vAlign w:val="center"/>
          </w:tcPr>
          <w:p>
            <w:pPr>
              <w:pStyle w:val="7"/>
              <w:widowControl w:val="0"/>
              <w:adjustRightInd w:val="0"/>
              <w:snapToGrid w:val="0"/>
              <w:spacing w:before="0" w:beforeAutospacing="0" w:after="0" w:afterAutospacing="0" w:line="260" w:lineRule="exact"/>
              <w:rPr>
                <w:rFonts w:ascii="Times New Roman" w:hAnsi="Times New Roman" w:cs="Times New Roman"/>
                <w:sz w:val="21"/>
                <w:szCs w:val="21"/>
              </w:rPr>
            </w:pPr>
            <w:r>
              <w:rPr>
                <w:rFonts w:ascii="Times New Roman" w:hAnsi="Times New Roman" w:cs="Times New Roman"/>
                <w:sz w:val="21"/>
                <w:szCs w:val="21"/>
              </w:rPr>
              <w:t>%</w:t>
            </w:r>
          </w:p>
        </w:tc>
        <w:tc>
          <w:tcPr>
            <w:tcW w:w="456" w:type="pct"/>
            <w:tcBorders>
              <w:tl2br w:val="nil"/>
              <w:tr2bl w:val="nil"/>
            </w:tcBorders>
            <w:noWrap w:val="0"/>
            <w:vAlign w:val="center"/>
          </w:tcPr>
          <w:p>
            <w:pPr>
              <w:pStyle w:val="7"/>
              <w:widowControl w:val="0"/>
              <w:adjustRightInd w:val="0"/>
              <w:snapToGrid w:val="0"/>
              <w:spacing w:before="0" w:beforeAutospacing="0" w:after="0" w:afterAutospacing="0" w:line="260" w:lineRule="exact"/>
              <w:rPr>
                <w:rFonts w:ascii="Times New Roman" w:hAnsi="Times New Roman" w:cs="Times New Roman"/>
                <w:sz w:val="21"/>
                <w:szCs w:val="21"/>
              </w:rPr>
            </w:pPr>
            <w:r>
              <w:rPr>
                <w:rFonts w:ascii="Times New Roman" w:hAnsi="Times New Roman" w:cs="Times New Roman"/>
                <w:sz w:val="21"/>
                <w:szCs w:val="21"/>
              </w:rPr>
              <w:t>-</w:t>
            </w:r>
          </w:p>
        </w:tc>
        <w:tc>
          <w:tcPr>
            <w:tcW w:w="456" w:type="pct"/>
            <w:tcBorders>
              <w:tl2br w:val="nil"/>
              <w:tr2bl w:val="nil"/>
            </w:tcBorders>
            <w:noWrap w:val="0"/>
            <w:vAlign w:val="center"/>
          </w:tcPr>
          <w:p>
            <w:pPr>
              <w:pStyle w:val="7"/>
              <w:widowControl w:val="0"/>
              <w:adjustRightInd w:val="0"/>
              <w:snapToGrid w:val="0"/>
              <w:spacing w:before="0" w:beforeAutospacing="0" w:after="0" w:afterAutospacing="0" w:line="260" w:lineRule="exact"/>
              <w:rPr>
                <w:rFonts w:ascii="Times New Roman" w:hAnsi="Times New Roman" w:cs="Times New Roman"/>
                <w:sz w:val="21"/>
                <w:szCs w:val="21"/>
              </w:rPr>
            </w:pPr>
            <w:r>
              <w:rPr>
                <w:rFonts w:ascii="Times New Roman" w:hAnsi="Times New Roman" w:cs="Times New Roman"/>
                <w:sz w:val="21"/>
                <w:szCs w:val="21"/>
              </w:rPr>
              <w:t>80</w:t>
            </w:r>
          </w:p>
        </w:tc>
        <w:tc>
          <w:tcPr>
            <w:tcW w:w="506" w:type="pct"/>
            <w:tcBorders>
              <w:tl2br w:val="nil"/>
              <w:tr2bl w:val="nil"/>
            </w:tcBorders>
            <w:noWrap w:val="0"/>
            <w:vAlign w:val="center"/>
          </w:tcPr>
          <w:p>
            <w:pPr>
              <w:pStyle w:val="7"/>
              <w:widowControl w:val="0"/>
              <w:adjustRightInd w:val="0"/>
              <w:snapToGrid w:val="0"/>
              <w:spacing w:before="0" w:beforeAutospacing="0" w:after="0" w:afterAutospacing="0" w:line="260" w:lineRule="exact"/>
              <w:rPr>
                <w:rFonts w:hint="eastAsia" w:ascii="Times New Roman" w:hAnsi="Times New Roman" w:eastAsia="宋体" w:cs="Times New Roman"/>
                <w:sz w:val="21"/>
                <w:szCs w:val="21"/>
                <w:lang w:eastAsia="zh-CN"/>
              </w:rPr>
            </w:pPr>
            <w:r>
              <w:rPr>
                <w:rFonts w:hint="eastAsia" w:ascii="Times New Roman" w:hAnsi="Times New Roman" w:cs="Times New Roman"/>
                <w:sz w:val="21"/>
                <w:szCs w:val="21"/>
                <w:lang w:eastAsia="zh-CN"/>
              </w:rPr>
              <w:t>市发展改革局</w:t>
            </w:r>
            <w:r>
              <w:rPr>
                <w:rFonts w:hint="eastAsia" w:ascii="Times New Roman" w:hAnsi="Times New Roman" w:cs="Times New Roman"/>
                <w:sz w:val="21"/>
                <w:szCs w:val="21"/>
              </w:rPr>
              <w:t>、市生态环境局、</w:t>
            </w:r>
            <w:r>
              <w:rPr>
                <w:rFonts w:hint="eastAsia" w:ascii="Times New Roman" w:hAnsi="Times New Roman" w:cs="Times New Roman"/>
                <w:sz w:val="21"/>
                <w:szCs w:val="21"/>
                <w:lang w:eastAsia="zh-CN"/>
              </w:rPr>
              <w:t>市工业和信息化局</w:t>
            </w:r>
          </w:p>
        </w:tc>
        <w:tc>
          <w:tcPr>
            <w:tcW w:w="1001" w:type="pct"/>
            <w:tcBorders>
              <w:tl2br w:val="nil"/>
              <w:tr2bl w:val="nil"/>
            </w:tcBorders>
            <w:noWrap w:val="0"/>
            <w:vAlign w:val="center"/>
          </w:tcPr>
          <w:p>
            <w:pPr>
              <w:pStyle w:val="7"/>
              <w:widowControl w:val="0"/>
              <w:adjustRightInd w:val="0"/>
              <w:snapToGrid w:val="0"/>
              <w:spacing w:before="0" w:beforeAutospacing="0" w:after="0" w:afterAutospacing="0" w:line="260" w:lineRule="exact"/>
              <w:jc w:val="both"/>
              <w:rPr>
                <w:rFonts w:ascii="Times New Roman" w:hAnsi="Times New Roman" w:cs="Times New Roman"/>
                <w:sz w:val="21"/>
                <w:szCs w:val="21"/>
              </w:rPr>
            </w:pPr>
            <w:r>
              <w:rPr>
                <w:rFonts w:hint="eastAsia" w:ascii="Times New Roman" w:hAnsi="Times New Roman" w:cs="Times New Roman"/>
                <w:sz w:val="21"/>
                <w:szCs w:val="21"/>
              </w:rPr>
              <w:t>根据《清洁生产审核评估与验收指南》要求，基于开展清洁生产审核评估的工业企业名单由城市自行决定的前提下确定。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67" w:type="pct"/>
            <w:tcBorders>
              <w:tl2br w:val="nil"/>
              <w:tr2bl w:val="nil"/>
            </w:tcBorders>
            <w:noWrap w:val="0"/>
            <w:vAlign w:val="center"/>
          </w:tcPr>
          <w:p>
            <w:pPr>
              <w:pStyle w:val="7"/>
              <w:widowControl w:val="0"/>
              <w:numPr>
                <w:ilvl w:val="0"/>
                <w:numId w:val="1"/>
              </w:numPr>
              <w:tabs>
                <w:tab w:val="left" w:pos="210"/>
              </w:tabs>
              <w:adjustRightInd w:val="0"/>
              <w:snapToGrid w:val="0"/>
              <w:spacing w:before="0" w:beforeAutospacing="0" w:after="0" w:afterAutospacing="0" w:line="260" w:lineRule="exact"/>
              <w:rPr>
                <w:rFonts w:ascii="Times New Roman" w:hAnsi="Times New Roman" w:cs="Times New Roman"/>
                <w:sz w:val="21"/>
                <w:szCs w:val="21"/>
              </w:rPr>
            </w:pPr>
          </w:p>
        </w:tc>
        <w:tc>
          <w:tcPr>
            <w:tcW w:w="360" w:type="pct"/>
            <w:vMerge w:val="continue"/>
            <w:tcBorders>
              <w:tl2br w:val="nil"/>
              <w:tr2bl w:val="nil"/>
            </w:tcBorders>
            <w:noWrap w:val="0"/>
            <w:vAlign w:val="center"/>
          </w:tcPr>
          <w:p>
            <w:pPr>
              <w:pStyle w:val="7"/>
              <w:widowControl w:val="0"/>
              <w:adjustRightInd w:val="0"/>
              <w:snapToGrid w:val="0"/>
              <w:spacing w:before="0" w:beforeAutospacing="0" w:after="0" w:afterAutospacing="0" w:line="260" w:lineRule="exact"/>
              <w:rPr>
                <w:rFonts w:ascii="Times New Roman" w:hAnsi="Times New Roman" w:cs="Times New Roman"/>
                <w:sz w:val="21"/>
                <w:szCs w:val="21"/>
              </w:rPr>
            </w:pPr>
          </w:p>
        </w:tc>
        <w:tc>
          <w:tcPr>
            <w:tcW w:w="535" w:type="pct"/>
            <w:vMerge w:val="continue"/>
            <w:tcBorders>
              <w:tl2br w:val="nil"/>
              <w:tr2bl w:val="nil"/>
            </w:tcBorders>
            <w:noWrap w:val="0"/>
            <w:vAlign w:val="center"/>
          </w:tcPr>
          <w:p>
            <w:pPr>
              <w:pStyle w:val="7"/>
              <w:widowControl w:val="0"/>
              <w:adjustRightInd w:val="0"/>
              <w:snapToGrid w:val="0"/>
              <w:spacing w:before="0" w:beforeAutospacing="0" w:after="0" w:afterAutospacing="0" w:line="260" w:lineRule="exact"/>
              <w:rPr>
                <w:rFonts w:ascii="Times New Roman" w:hAnsi="Times New Roman" w:cs="Times New Roman"/>
                <w:sz w:val="21"/>
                <w:szCs w:val="21"/>
              </w:rPr>
            </w:pPr>
          </w:p>
        </w:tc>
        <w:tc>
          <w:tcPr>
            <w:tcW w:w="1114" w:type="pct"/>
            <w:tcBorders>
              <w:tl2br w:val="nil"/>
              <w:tr2bl w:val="nil"/>
            </w:tcBorders>
            <w:noWrap w:val="0"/>
            <w:vAlign w:val="center"/>
          </w:tcPr>
          <w:p>
            <w:pPr>
              <w:pStyle w:val="7"/>
              <w:widowControl w:val="0"/>
              <w:adjustRightInd w:val="0"/>
              <w:snapToGrid w:val="0"/>
              <w:spacing w:before="0" w:beforeAutospacing="0" w:after="0" w:afterAutospacing="0" w:line="260" w:lineRule="exact"/>
              <w:rPr>
                <w:rFonts w:ascii="Times New Roman" w:hAnsi="Times New Roman" w:cs="Times New Roman"/>
                <w:sz w:val="21"/>
                <w:szCs w:val="21"/>
              </w:rPr>
            </w:pPr>
            <w:r>
              <w:rPr>
                <w:rFonts w:hint="eastAsia" w:ascii="Times New Roman" w:hAnsi="Times New Roman" w:cs="Times New Roman"/>
                <w:sz w:val="21"/>
                <w:szCs w:val="21"/>
              </w:rPr>
              <w:t>开展生态工业园区建设、循环化改造、绿色园区建设的工业园区占比</w:t>
            </w:r>
          </w:p>
        </w:tc>
        <w:tc>
          <w:tcPr>
            <w:tcW w:w="405" w:type="pct"/>
            <w:tcBorders>
              <w:tl2br w:val="nil"/>
              <w:tr2bl w:val="nil"/>
            </w:tcBorders>
            <w:noWrap w:val="0"/>
            <w:vAlign w:val="center"/>
          </w:tcPr>
          <w:p>
            <w:pPr>
              <w:pStyle w:val="7"/>
              <w:widowControl w:val="0"/>
              <w:adjustRightInd w:val="0"/>
              <w:snapToGrid w:val="0"/>
              <w:spacing w:before="0" w:beforeAutospacing="0" w:after="0" w:afterAutospacing="0" w:line="260" w:lineRule="exact"/>
              <w:rPr>
                <w:rFonts w:ascii="Times New Roman" w:hAnsi="Times New Roman" w:cs="Times New Roman"/>
                <w:sz w:val="21"/>
                <w:szCs w:val="21"/>
              </w:rPr>
            </w:pPr>
            <w:r>
              <w:rPr>
                <w:rFonts w:ascii="Times New Roman" w:hAnsi="Times New Roman" w:cs="Times New Roman"/>
                <w:sz w:val="21"/>
                <w:szCs w:val="21"/>
              </w:rPr>
              <w:t>%</w:t>
            </w:r>
          </w:p>
        </w:tc>
        <w:tc>
          <w:tcPr>
            <w:tcW w:w="456" w:type="pct"/>
            <w:tcBorders>
              <w:tl2br w:val="nil"/>
              <w:tr2bl w:val="nil"/>
            </w:tcBorders>
            <w:noWrap w:val="0"/>
            <w:vAlign w:val="center"/>
          </w:tcPr>
          <w:p>
            <w:pPr>
              <w:pStyle w:val="7"/>
              <w:widowControl w:val="0"/>
              <w:adjustRightInd w:val="0"/>
              <w:snapToGrid w:val="0"/>
              <w:spacing w:before="0" w:beforeAutospacing="0" w:after="0" w:afterAutospacing="0" w:line="260" w:lineRule="exact"/>
              <w:rPr>
                <w:rFonts w:ascii="Times New Roman" w:hAnsi="Times New Roman" w:cs="Times New Roman"/>
                <w:sz w:val="21"/>
                <w:szCs w:val="21"/>
              </w:rPr>
            </w:pPr>
            <w:r>
              <w:rPr>
                <w:rFonts w:ascii="Times New Roman" w:hAnsi="Times New Roman" w:cs="Times New Roman"/>
                <w:sz w:val="21"/>
                <w:szCs w:val="21"/>
              </w:rPr>
              <w:t>25</w:t>
            </w:r>
          </w:p>
        </w:tc>
        <w:tc>
          <w:tcPr>
            <w:tcW w:w="456" w:type="pct"/>
            <w:tcBorders>
              <w:tl2br w:val="nil"/>
              <w:tr2bl w:val="nil"/>
            </w:tcBorders>
            <w:noWrap w:val="0"/>
            <w:vAlign w:val="center"/>
          </w:tcPr>
          <w:p>
            <w:pPr>
              <w:pStyle w:val="7"/>
              <w:widowControl w:val="0"/>
              <w:adjustRightInd w:val="0"/>
              <w:snapToGrid w:val="0"/>
              <w:spacing w:before="0" w:beforeAutospacing="0" w:after="0" w:afterAutospacing="0" w:line="260" w:lineRule="exact"/>
              <w:rPr>
                <w:rFonts w:ascii="Times New Roman" w:hAnsi="Times New Roman" w:cs="Times New Roman"/>
                <w:sz w:val="21"/>
                <w:szCs w:val="21"/>
              </w:rPr>
            </w:pPr>
            <w:r>
              <w:rPr>
                <w:rFonts w:ascii="Times New Roman" w:hAnsi="Times New Roman" w:cs="Times New Roman"/>
                <w:sz w:val="21"/>
                <w:szCs w:val="21"/>
              </w:rPr>
              <w:t>50</w:t>
            </w:r>
          </w:p>
        </w:tc>
        <w:tc>
          <w:tcPr>
            <w:tcW w:w="506" w:type="pct"/>
            <w:tcBorders>
              <w:tl2br w:val="nil"/>
              <w:tr2bl w:val="nil"/>
            </w:tcBorders>
            <w:noWrap w:val="0"/>
            <w:vAlign w:val="center"/>
          </w:tcPr>
          <w:p>
            <w:pPr>
              <w:pStyle w:val="7"/>
              <w:widowControl w:val="0"/>
              <w:adjustRightInd w:val="0"/>
              <w:snapToGrid w:val="0"/>
              <w:spacing w:before="0" w:beforeAutospacing="0" w:after="0" w:afterAutospacing="0" w:line="260" w:lineRule="exact"/>
              <w:rPr>
                <w:rFonts w:ascii="Times New Roman" w:hAnsi="Times New Roman" w:cs="Times New Roman"/>
                <w:sz w:val="21"/>
                <w:szCs w:val="21"/>
              </w:rPr>
            </w:pPr>
            <w:r>
              <w:rPr>
                <w:rFonts w:hint="eastAsia" w:ascii="Times New Roman" w:hAnsi="Times New Roman" w:cs="Times New Roman"/>
                <w:sz w:val="21"/>
                <w:szCs w:val="21"/>
              </w:rPr>
              <w:t>市生态环境局、</w:t>
            </w:r>
            <w:r>
              <w:rPr>
                <w:rFonts w:hint="eastAsia" w:ascii="Times New Roman" w:hAnsi="Times New Roman" w:cs="Times New Roman"/>
                <w:sz w:val="21"/>
                <w:szCs w:val="21"/>
                <w:lang w:eastAsia="zh-CN"/>
              </w:rPr>
              <w:t>市工业和信息化局</w:t>
            </w:r>
            <w:r>
              <w:rPr>
                <w:rFonts w:hint="eastAsia" w:ascii="Times New Roman" w:hAnsi="Times New Roman" w:cs="Times New Roman"/>
                <w:sz w:val="21"/>
                <w:szCs w:val="21"/>
              </w:rPr>
              <w:t>、</w:t>
            </w:r>
            <w:r>
              <w:rPr>
                <w:rFonts w:hint="eastAsia" w:ascii="Times New Roman" w:hAnsi="Times New Roman" w:cs="Times New Roman"/>
                <w:sz w:val="21"/>
                <w:szCs w:val="21"/>
                <w:lang w:eastAsia="zh-CN"/>
              </w:rPr>
              <w:t>市发展改革局</w:t>
            </w:r>
            <w:r>
              <w:rPr>
                <w:rFonts w:hint="eastAsia" w:ascii="Times New Roman" w:hAnsi="Times New Roman" w:cs="Times New Roman"/>
                <w:sz w:val="21"/>
                <w:szCs w:val="21"/>
              </w:rPr>
              <w:t>按职责分工负责</w:t>
            </w:r>
          </w:p>
        </w:tc>
        <w:tc>
          <w:tcPr>
            <w:tcW w:w="1001" w:type="pct"/>
            <w:tcBorders>
              <w:tl2br w:val="nil"/>
              <w:tr2bl w:val="nil"/>
            </w:tcBorders>
            <w:noWrap w:val="0"/>
            <w:vAlign w:val="center"/>
          </w:tcPr>
          <w:p>
            <w:pPr>
              <w:pStyle w:val="7"/>
              <w:widowControl w:val="0"/>
              <w:adjustRightInd w:val="0"/>
              <w:snapToGrid w:val="0"/>
              <w:spacing w:before="0" w:beforeAutospacing="0" w:after="0" w:afterAutospacing="0" w:line="260" w:lineRule="exact"/>
              <w:jc w:val="both"/>
              <w:rPr>
                <w:rFonts w:ascii="Times New Roman" w:hAnsi="Times New Roman" w:cs="Times New Roman"/>
                <w:sz w:val="21"/>
                <w:szCs w:val="21"/>
              </w:rPr>
            </w:pPr>
            <w:r>
              <w:rPr>
                <w:rFonts w:hint="eastAsia" w:ascii="Times New Roman" w:hAnsi="Times New Roman" w:cs="Times New Roman"/>
                <w:sz w:val="21"/>
                <w:szCs w:val="21"/>
              </w:rPr>
              <w:t>根据《汕尾市碳达峰实施方案》确定，结合汕尾市省级园区现状确定。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67" w:type="pct"/>
            <w:tcBorders>
              <w:tl2br w:val="nil"/>
              <w:tr2bl w:val="nil"/>
            </w:tcBorders>
            <w:noWrap w:val="0"/>
            <w:vAlign w:val="center"/>
          </w:tcPr>
          <w:p>
            <w:pPr>
              <w:pStyle w:val="7"/>
              <w:widowControl w:val="0"/>
              <w:numPr>
                <w:ilvl w:val="0"/>
                <w:numId w:val="1"/>
              </w:numPr>
              <w:tabs>
                <w:tab w:val="left" w:pos="210"/>
              </w:tabs>
              <w:adjustRightInd w:val="0"/>
              <w:snapToGrid w:val="0"/>
              <w:spacing w:before="0" w:beforeAutospacing="0" w:after="0" w:afterAutospacing="0" w:line="260" w:lineRule="exact"/>
              <w:rPr>
                <w:rFonts w:ascii="Times New Roman" w:hAnsi="Times New Roman" w:cs="Times New Roman"/>
                <w:sz w:val="21"/>
                <w:szCs w:val="21"/>
              </w:rPr>
            </w:pPr>
          </w:p>
        </w:tc>
        <w:tc>
          <w:tcPr>
            <w:tcW w:w="360" w:type="pct"/>
            <w:vMerge w:val="continue"/>
            <w:tcBorders>
              <w:tl2br w:val="nil"/>
              <w:tr2bl w:val="nil"/>
            </w:tcBorders>
            <w:noWrap w:val="0"/>
            <w:vAlign w:val="center"/>
          </w:tcPr>
          <w:p>
            <w:pPr>
              <w:pStyle w:val="7"/>
              <w:widowControl w:val="0"/>
              <w:adjustRightInd w:val="0"/>
              <w:snapToGrid w:val="0"/>
              <w:spacing w:before="0" w:beforeAutospacing="0" w:after="0" w:afterAutospacing="0" w:line="260" w:lineRule="exact"/>
              <w:rPr>
                <w:rFonts w:ascii="Times New Roman" w:hAnsi="Times New Roman" w:cs="Times New Roman"/>
                <w:sz w:val="21"/>
                <w:szCs w:val="21"/>
              </w:rPr>
            </w:pPr>
          </w:p>
        </w:tc>
        <w:tc>
          <w:tcPr>
            <w:tcW w:w="535" w:type="pct"/>
            <w:vMerge w:val="continue"/>
            <w:tcBorders>
              <w:tl2br w:val="nil"/>
              <w:tr2bl w:val="nil"/>
            </w:tcBorders>
            <w:noWrap w:val="0"/>
            <w:vAlign w:val="center"/>
          </w:tcPr>
          <w:p>
            <w:pPr>
              <w:pStyle w:val="7"/>
              <w:widowControl w:val="0"/>
              <w:adjustRightInd w:val="0"/>
              <w:snapToGrid w:val="0"/>
              <w:spacing w:before="0" w:beforeAutospacing="0" w:after="0" w:afterAutospacing="0" w:line="260" w:lineRule="exact"/>
              <w:rPr>
                <w:rFonts w:ascii="Times New Roman" w:hAnsi="Times New Roman" w:cs="Times New Roman"/>
                <w:sz w:val="21"/>
                <w:szCs w:val="21"/>
              </w:rPr>
            </w:pPr>
          </w:p>
        </w:tc>
        <w:tc>
          <w:tcPr>
            <w:tcW w:w="1114" w:type="pct"/>
            <w:tcBorders>
              <w:tl2br w:val="nil"/>
              <w:tr2bl w:val="nil"/>
            </w:tcBorders>
            <w:noWrap w:val="0"/>
            <w:vAlign w:val="center"/>
          </w:tcPr>
          <w:p>
            <w:pPr>
              <w:pStyle w:val="7"/>
              <w:widowControl w:val="0"/>
              <w:adjustRightInd w:val="0"/>
              <w:snapToGrid w:val="0"/>
              <w:spacing w:before="0" w:beforeAutospacing="0" w:after="0" w:afterAutospacing="0" w:line="260" w:lineRule="exact"/>
              <w:rPr>
                <w:rFonts w:ascii="Times New Roman" w:hAnsi="Times New Roman" w:cs="Times New Roman"/>
                <w:sz w:val="21"/>
                <w:szCs w:val="21"/>
              </w:rPr>
            </w:pPr>
            <w:r>
              <w:rPr>
                <w:rFonts w:hint="eastAsia" w:ascii="Times New Roman" w:hAnsi="Times New Roman" w:cs="Times New Roman"/>
                <w:sz w:val="21"/>
                <w:szCs w:val="21"/>
              </w:rPr>
              <w:t>绿色矿山建成率</w:t>
            </w:r>
            <w:r>
              <w:rPr>
                <w:rFonts w:hint="eastAsia" w:ascii="Segoe UI Symbol" w:hAnsi="Segoe UI Symbol" w:cs="Segoe UI Symbol"/>
                <w:sz w:val="21"/>
                <w:szCs w:val="21"/>
              </w:rPr>
              <w:t>★</w:t>
            </w:r>
          </w:p>
        </w:tc>
        <w:tc>
          <w:tcPr>
            <w:tcW w:w="405" w:type="pct"/>
            <w:tcBorders>
              <w:tl2br w:val="nil"/>
              <w:tr2bl w:val="nil"/>
            </w:tcBorders>
            <w:noWrap w:val="0"/>
            <w:vAlign w:val="center"/>
          </w:tcPr>
          <w:p>
            <w:pPr>
              <w:pStyle w:val="7"/>
              <w:widowControl w:val="0"/>
              <w:adjustRightInd w:val="0"/>
              <w:snapToGrid w:val="0"/>
              <w:spacing w:before="0" w:beforeAutospacing="0" w:after="0" w:afterAutospacing="0" w:line="260" w:lineRule="exact"/>
              <w:rPr>
                <w:rFonts w:ascii="Times New Roman" w:hAnsi="Times New Roman" w:cs="Times New Roman"/>
                <w:sz w:val="21"/>
                <w:szCs w:val="21"/>
              </w:rPr>
            </w:pPr>
            <w:r>
              <w:rPr>
                <w:rFonts w:ascii="Times New Roman" w:hAnsi="Times New Roman" w:cs="Times New Roman"/>
                <w:sz w:val="21"/>
                <w:szCs w:val="21"/>
              </w:rPr>
              <w:t>%</w:t>
            </w:r>
          </w:p>
        </w:tc>
        <w:tc>
          <w:tcPr>
            <w:tcW w:w="456" w:type="pct"/>
            <w:tcBorders>
              <w:tl2br w:val="nil"/>
              <w:tr2bl w:val="nil"/>
            </w:tcBorders>
            <w:noWrap w:val="0"/>
            <w:vAlign w:val="center"/>
          </w:tcPr>
          <w:p>
            <w:pPr>
              <w:pStyle w:val="7"/>
              <w:widowControl w:val="0"/>
              <w:adjustRightInd w:val="0"/>
              <w:snapToGrid w:val="0"/>
              <w:spacing w:before="0" w:beforeAutospacing="0" w:after="0" w:afterAutospacing="0" w:line="260" w:lineRule="exact"/>
              <w:rPr>
                <w:rFonts w:ascii="Times New Roman" w:hAnsi="Times New Roman" w:cs="Times New Roman"/>
                <w:sz w:val="21"/>
                <w:szCs w:val="21"/>
              </w:rPr>
            </w:pPr>
            <w:r>
              <w:rPr>
                <w:rFonts w:ascii="Times New Roman" w:hAnsi="Times New Roman" w:cs="Times New Roman"/>
                <w:sz w:val="21"/>
                <w:szCs w:val="21"/>
              </w:rPr>
              <w:t>100</w:t>
            </w:r>
          </w:p>
        </w:tc>
        <w:tc>
          <w:tcPr>
            <w:tcW w:w="456" w:type="pct"/>
            <w:tcBorders>
              <w:tl2br w:val="nil"/>
              <w:tr2bl w:val="nil"/>
            </w:tcBorders>
            <w:noWrap w:val="0"/>
            <w:vAlign w:val="center"/>
          </w:tcPr>
          <w:p>
            <w:pPr>
              <w:pStyle w:val="7"/>
              <w:widowControl w:val="0"/>
              <w:adjustRightInd w:val="0"/>
              <w:snapToGrid w:val="0"/>
              <w:spacing w:before="0" w:beforeAutospacing="0" w:after="0" w:afterAutospacing="0" w:line="260" w:lineRule="exact"/>
              <w:rPr>
                <w:rFonts w:ascii="Times New Roman" w:hAnsi="Times New Roman" w:cs="Times New Roman"/>
                <w:sz w:val="21"/>
                <w:szCs w:val="21"/>
              </w:rPr>
            </w:pPr>
            <w:r>
              <w:rPr>
                <w:rFonts w:ascii="Times New Roman" w:hAnsi="Times New Roman" w:cs="Times New Roman"/>
                <w:sz w:val="21"/>
                <w:szCs w:val="21"/>
              </w:rPr>
              <w:t>100</w:t>
            </w:r>
          </w:p>
        </w:tc>
        <w:tc>
          <w:tcPr>
            <w:tcW w:w="506" w:type="pct"/>
            <w:tcBorders>
              <w:tl2br w:val="nil"/>
              <w:tr2bl w:val="nil"/>
            </w:tcBorders>
            <w:noWrap w:val="0"/>
            <w:vAlign w:val="center"/>
          </w:tcPr>
          <w:p>
            <w:pPr>
              <w:pStyle w:val="7"/>
              <w:widowControl w:val="0"/>
              <w:adjustRightInd w:val="0"/>
              <w:snapToGrid w:val="0"/>
              <w:spacing w:before="0" w:beforeAutospacing="0" w:after="0" w:afterAutospacing="0" w:line="260" w:lineRule="exact"/>
              <w:rPr>
                <w:rFonts w:ascii="Times New Roman" w:hAnsi="Times New Roman" w:cs="Times New Roman"/>
                <w:sz w:val="21"/>
                <w:szCs w:val="21"/>
              </w:rPr>
            </w:pPr>
            <w:r>
              <w:rPr>
                <w:rFonts w:hint="eastAsia" w:ascii="Times New Roman" w:hAnsi="Times New Roman" w:cs="Times New Roman"/>
                <w:sz w:val="21"/>
                <w:szCs w:val="21"/>
              </w:rPr>
              <w:t>市自然资源局</w:t>
            </w:r>
          </w:p>
        </w:tc>
        <w:tc>
          <w:tcPr>
            <w:tcW w:w="1001" w:type="pct"/>
            <w:tcBorders>
              <w:tl2br w:val="nil"/>
              <w:tr2bl w:val="nil"/>
            </w:tcBorders>
            <w:noWrap w:val="0"/>
            <w:vAlign w:val="center"/>
          </w:tcPr>
          <w:p>
            <w:pPr>
              <w:pStyle w:val="7"/>
              <w:widowControl w:val="0"/>
              <w:adjustRightInd w:val="0"/>
              <w:snapToGrid w:val="0"/>
              <w:spacing w:before="0" w:beforeAutospacing="0" w:after="0" w:afterAutospacing="0" w:line="260" w:lineRule="exact"/>
              <w:jc w:val="both"/>
              <w:rPr>
                <w:rFonts w:ascii="Times New Roman" w:hAnsi="Times New Roman" w:cs="Times New Roman"/>
                <w:sz w:val="21"/>
                <w:szCs w:val="21"/>
              </w:rPr>
            </w:pPr>
            <w:r>
              <w:rPr>
                <w:rFonts w:hint="eastAsia" w:ascii="Times New Roman" w:hAnsi="Times New Roman" w:cs="Times New Roman"/>
                <w:sz w:val="21"/>
                <w:szCs w:val="21"/>
              </w:rPr>
              <w:t>根据《汕尾市矿产资源总体规划</w:t>
            </w:r>
            <w:r>
              <w:rPr>
                <w:rFonts w:ascii="Times New Roman" w:hAnsi="Times New Roman" w:cs="Times New Roman"/>
                <w:sz w:val="21"/>
                <w:szCs w:val="21"/>
              </w:rPr>
              <w:t>(2021-2025年)》</w:t>
            </w:r>
            <w:r>
              <w:rPr>
                <w:rFonts w:hint="eastAsia" w:ascii="Times New Roman" w:hAnsi="Times New Roman" w:cs="Times New Roman"/>
                <w:sz w:val="21"/>
                <w:szCs w:val="21"/>
              </w:rPr>
              <w:t>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67" w:type="pct"/>
            <w:tcBorders>
              <w:tl2br w:val="nil"/>
              <w:tr2bl w:val="nil"/>
            </w:tcBorders>
            <w:noWrap w:val="0"/>
            <w:vAlign w:val="center"/>
          </w:tcPr>
          <w:p>
            <w:pPr>
              <w:pStyle w:val="7"/>
              <w:widowControl w:val="0"/>
              <w:numPr>
                <w:ilvl w:val="0"/>
                <w:numId w:val="1"/>
              </w:numPr>
              <w:tabs>
                <w:tab w:val="left" w:pos="210"/>
              </w:tabs>
              <w:adjustRightInd w:val="0"/>
              <w:snapToGrid w:val="0"/>
              <w:spacing w:before="0" w:beforeAutospacing="0" w:after="0" w:afterAutospacing="0" w:line="260" w:lineRule="exact"/>
              <w:rPr>
                <w:rFonts w:ascii="Times New Roman" w:hAnsi="Times New Roman" w:cs="Times New Roman"/>
                <w:sz w:val="21"/>
                <w:szCs w:val="21"/>
              </w:rPr>
            </w:pPr>
          </w:p>
        </w:tc>
        <w:tc>
          <w:tcPr>
            <w:tcW w:w="360" w:type="pct"/>
            <w:vMerge w:val="continue"/>
            <w:tcBorders>
              <w:tl2br w:val="nil"/>
              <w:tr2bl w:val="nil"/>
            </w:tcBorders>
            <w:noWrap w:val="0"/>
            <w:vAlign w:val="center"/>
          </w:tcPr>
          <w:p>
            <w:pPr>
              <w:pStyle w:val="7"/>
              <w:widowControl w:val="0"/>
              <w:adjustRightInd w:val="0"/>
              <w:snapToGrid w:val="0"/>
              <w:spacing w:before="0" w:beforeAutospacing="0" w:after="0" w:afterAutospacing="0" w:line="260" w:lineRule="exact"/>
              <w:rPr>
                <w:rFonts w:ascii="Times New Roman" w:hAnsi="Times New Roman" w:cs="Times New Roman"/>
                <w:sz w:val="21"/>
                <w:szCs w:val="21"/>
              </w:rPr>
            </w:pPr>
          </w:p>
        </w:tc>
        <w:tc>
          <w:tcPr>
            <w:tcW w:w="535" w:type="pct"/>
            <w:tcBorders>
              <w:tl2br w:val="nil"/>
              <w:tr2bl w:val="nil"/>
            </w:tcBorders>
            <w:noWrap w:val="0"/>
            <w:vAlign w:val="center"/>
          </w:tcPr>
          <w:p>
            <w:pPr>
              <w:pStyle w:val="7"/>
              <w:widowControl w:val="0"/>
              <w:adjustRightInd w:val="0"/>
              <w:snapToGrid w:val="0"/>
              <w:spacing w:before="0" w:beforeAutospacing="0" w:after="0" w:afterAutospacing="0" w:line="260" w:lineRule="exact"/>
              <w:rPr>
                <w:rFonts w:ascii="Times New Roman" w:hAnsi="Times New Roman" w:cs="Times New Roman"/>
                <w:sz w:val="21"/>
                <w:szCs w:val="21"/>
              </w:rPr>
            </w:pPr>
            <w:r>
              <w:rPr>
                <w:rFonts w:hint="eastAsia" w:ascii="Times New Roman" w:hAnsi="Times New Roman" w:cs="Times New Roman"/>
                <w:color w:val="000000"/>
                <w:sz w:val="21"/>
                <w:szCs w:val="21"/>
              </w:rPr>
              <w:t>农业固废源头减量</w:t>
            </w:r>
          </w:p>
        </w:tc>
        <w:tc>
          <w:tcPr>
            <w:tcW w:w="1114" w:type="pct"/>
            <w:tcBorders>
              <w:tl2br w:val="nil"/>
              <w:tr2bl w:val="nil"/>
            </w:tcBorders>
            <w:noWrap w:val="0"/>
            <w:vAlign w:val="center"/>
          </w:tcPr>
          <w:p>
            <w:pPr>
              <w:pStyle w:val="7"/>
              <w:widowControl w:val="0"/>
              <w:adjustRightInd w:val="0"/>
              <w:snapToGrid w:val="0"/>
              <w:spacing w:before="0" w:beforeAutospacing="0" w:after="0" w:afterAutospacing="0" w:line="260" w:lineRule="exact"/>
              <w:rPr>
                <w:rFonts w:ascii="Times New Roman" w:hAnsi="Times New Roman" w:cs="Times New Roman"/>
                <w:spacing w:val="-6"/>
                <w:sz w:val="21"/>
                <w:szCs w:val="21"/>
              </w:rPr>
            </w:pPr>
            <w:r>
              <w:rPr>
                <w:rFonts w:hint="eastAsia" w:ascii="Times New Roman" w:hAnsi="Times New Roman" w:cs="Times New Roman"/>
                <w:color w:val="000000"/>
                <w:sz w:val="21"/>
                <w:szCs w:val="21"/>
              </w:rPr>
              <w:t>畜禽养殖标准化示范场数量</w:t>
            </w:r>
          </w:p>
        </w:tc>
        <w:tc>
          <w:tcPr>
            <w:tcW w:w="405" w:type="pct"/>
            <w:tcBorders>
              <w:tl2br w:val="nil"/>
              <w:tr2bl w:val="nil"/>
            </w:tcBorders>
            <w:noWrap w:val="0"/>
            <w:vAlign w:val="center"/>
          </w:tcPr>
          <w:p>
            <w:pPr>
              <w:pStyle w:val="7"/>
              <w:widowControl w:val="0"/>
              <w:adjustRightInd w:val="0"/>
              <w:snapToGrid w:val="0"/>
              <w:spacing w:before="0" w:beforeAutospacing="0" w:after="0" w:afterAutospacing="0" w:line="260" w:lineRule="exact"/>
              <w:rPr>
                <w:rFonts w:ascii="Times New Roman" w:hAnsi="Times New Roman" w:cs="Times New Roman"/>
                <w:sz w:val="21"/>
                <w:szCs w:val="21"/>
              </w:rPr>
            </w:pPr>
            <w:r>
              <w:rPr>
                <w:rFonts w:hint="eastAsia" w:ascii="Times New Roman" w:hAnsi="Times New Roman" w:cs="Times New Roman"/>
                <w:color w:val="000000"/>
                <w:sz w:val="21"/>
                <w:szCs w:val="21"/>
              </w:rPr>
              <w:t>家</w:t>
            </w:r>
          </w:p>
        </w:tc>
        <w:tc>
          <w:tcPr>
            <w:tcW w:w="456"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rFonts w:ascii="Times New Roman" w:hAnsi="Times New Roman" w:cs="Times New Roman"/>
                <w:sz w:val="21"/>
                <w:szCs w:val="21"/>
              </w:rPr>
              <w:t>16</w:t>
            </w:r>
          </w:p>
        </w:tc>
        <w:tc>
          <w:tcPr>
            <w:tcW w:w="456"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rFonts w:ascii="Times New Roman" w:hAnsi="Times New Roman" w:cs="Times New Roman"/>
                <w:sz w:val="21"/>
                <w:szCs w:val="21"/>
              </w:rPr>
              <w:t>26</w:t>
            </w:r>
          </w:p>
        </w:tc>
        <w:tc>
          <w:tcPr>
            <w:tcW w:w="506"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rFonts w:hint="eastAsia" w:ascii="Times New Roman" w:hAnsi="Times New Roman" w:cs="Times New Roman"/>
                <w:sz w:val="21"/>
                <w:szCs w:val="21"/>
              </w:rPr>
              <w:t>市农业农村局</w:t>
            </w:r>
          </w:p>
        </w:tc>
        <w:tc>
          <w:tcPr>
            <w:tcW w:w="1001" w:type="pct"/>
            <w:tcBorders>
              <w:tl2br w:val="nil"/>
              <w:tr2bl w:val="nil"/>
            </w:tcBorders>
            <w:noWrap w:val="0"/>
            <w:vAlign w:val="center"/>
          </w:tcPr>
          <w:p>
            <w:pPr>
              <w:pStyle w:val="7"/>
              <w:widowControl w:val="0"/>
              <w:adjustRightInd w:val="0"/>
              <w:snapToGrid w:val="0"/>
              <w:spacing w:before="0" w:beforeAutospacing="0" w:after="0" w:afterAutospacing="0" w:line="260" w:lineRule="exact"/>
              <w:jc w:val="both"/>
              <w:rPr>
                <w:rFonts w:ascii="Times New Roman" w:hAnsi="Times New Roman" w:cs="Times New Roman"/>
                <w:sz w:val="21"/>
                <w:szCs w:val="21"/>
              </w:rPr>
            </w:pPr>
            <w:r>
              <w:rPr>
                <w:rFonts w:hint="eastAsia" w:ascii="Times New Roman" w:hAnsi="Times New Roman" w:cs="Times New Roman"/>
                <w:sz w:val="21"/>
                <w:szCs w:val="21"/>
              </w:rPr>
              <w:t>根据汕尾市实际情况核定。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67" w:type="pct"/>
            <w:tcBorders>
              <w:tl2br w:val="nil"/>
              <w:tr2bl w:val="nil"/>
            </w:tcBorders>
            <w:noWrap w:val="0"/>
            <w:vAlign w:val="center"/>
          </w:tcPr>
          <w:p>
            <w:pPr>
              <w:pStyle w:val="7"/>
              <w:widowControl w:val="0"/>
              <w:numPr>
                <w:ilvl w:val="0"/>
                <w:numId w:val="1"/>
              </w:numPr>
              <w:tabs>
                <w:tab w:val="left" w:pos="210"/>
              </w:tabs>
              <w:adjustRightInd w:val="0"/>
              <w:snapToGrid w:val="0"/>
              <w:spacing w:before="0" w:beforeAutospacing="0" w:after="0" w:afterAutospacing="0" w:line="260" w:lineRule="exact"/>
              <w:rPr>
                <w:rFonts w:ascii="Times New Roman" w:hAnsi="Times New Roman" w:cs="Times New Roman"/>
                <w:sz w:val="21"/>
                <w:szCs w:val="21"/>
              </w:rPr>
            </w:pPr>
          </w:p>
        </w:tc>
        <w:tc>
          <w:tcPr>
            <w:tcW w:w="360" w:type="pct"/>
            <w:vMerge w:val="continue"/>
            <w:tcBorders>
              <w:tl2br w:val="nil"/>
              <w:tr2bl w:val="nil"/>
            </w:tcBorders>
            <w:noWrap w:val="0"/>
            <w:vAlign w:val="center"/>
          </w:tcPr>
          <w:p>
            <w:pPr>
              <w:pStyle w:val="7"/>
              <w:widowControl w:val="0"/>
              <w:adjustRightInd w:val="0"/>
              <w:snapToGrid w:val="0"/>
              <w:spacing w:before="0" w:beforeAutospacing="0" w:after="0" w:afterAutospacing="0" w:line="260" w:lineRule="exact"/>
              <w:rPr>
                <w:rFonts w:ascii="Times New Roman" w:hAnsi="Times New Roman" w:cs="Times New Roman"/>
                <w:sz w:val="21"/>
                <w:szCs w:val="21"/>
              </w:rPr>
            </w:pPr>
          </w:p>
        </w:tc>
        <w:tc>
          <w:tcPr>
            <w:tcW w:w="535" w:type="pct"/>
            <w:tcBorders>
              <w:tl2br w:val="nil"/>
              <w:tr2bl w:val="nil"/>
            </w:tcBorders>
            <w:noWrap w:val="0"/>
            <w:vAlign w:val="center"/>
          </w:tcPr>
          <w:p>
            <w:pPr>
              <w:pStyle w:val="7"/>
              <w:widowControl w:val="0"/>
              <w:adjustRightInd w:val="0"/>
              <w:snapToGrid w:val="0"/>
              <w:spacing w:before="0" w:beforeAutospacing="0" w:after="0" w:afterAutospacing="0" w:line="260" w:lineRule="exact"/>
              <w:rPr>
                <w:rFonts w:ascii="Times New Roman" w:hAnsi="Times New Roman" w:cs="Times New Roman"/>
                <w:sz w:val="21"/>
                <w:szCs w:val="21"/>
              </w:rPr>
            </w:pPr>
            <w:r>
              <w:rPr>
                <w:rFonts w:hint="eastAsia" w:ascii="Times New Roman" w:hAnsi="Times New Roman" w:cs="Times New Roman"/>
                <w:sz w:val="21"/>
                <w:szCs w:val="21"/>
              </w:rPr>
              <w:t>建筑业源头减量</w:t>
            </w:r>
          </w:p>
        </w:tc>
        <w:tc>
          <w:tcPr>
            <w:tcW w:w="1114" w:type="pct"/>
            <w:tcBorders>
              <w:tl2br w:val="nil"/>
              <w:tr2bl w:val="nil"/>
            </w:tcBorders>
            <w:noWrap w:val="0"/>
            <w:vAlign w:val="center"/>
          </w:tcPr>
          <w:p>
            <w:pPr>
              <w:pStyle w:val="7"/>
              <w:widowControl w:val="0"/>
              <w:adjustRightInd w:val="0"/>
              <w:snapToGrid w:val="0"/>
              <w:spacing w:before="0" w:beforeAutospacing="0" w:after="0" w:afterAutospacing="0" w:line="260" w:lineRule="exact"/>
              <w:rPr>
                <w:rFonts w:ascii="Times New Roman" w:hAnsi="Times New Roman" w:cs="Times New Roman"/>
                <w:sz w:val="21"/>
                <w:szCs w:val="21"/>
              </w:rPr>
            </w:pPr>
            <w:r>
              <w:rPr>
                <w:rFonts w:hint="eastAsia" w:ascii="Times New Roman" w:hAnsi="Times New Roman" w:cs="Times New Roman"/>
                <w:sz w:val="21"/>
                <w:szCs w:val="21"/>
              </w:rPr>
              <w:t>绿色建筑占新建建筑的比例</w:t>
            </w:r>
            <w:r>
              <w:rPr>
                <w:rFonts w:hint="eastAsia" w:ascii="Segoe UI Symbol" w:hAnsi="Segoe UI Symbol" w:cs="Segoe UI Symbol"/>
                <w:sz w:val="21"/>
                <w:szCs w:val="21"/>
              </w:rPr>
              <w:t>★</w:t>
            </w:r>
          </w:p>
        </w:tc>
        <w:tc>
          <w:tcPr>
            <w:tcW w:w="405" w:type="pct"/>
            <w:tcBorders>
              <w:tl2br w:val="nil"/>
              <w:tr2bl w:val="nil"/>
            </w:tcBorders>
            <w:noWrap w:val="0"/>
            <w:vAlign w:val="center"/>
          </w:tcPr>
          <w:p>
            <w:pPr>
              <w:pStyle w:val="7"/>
              <w:widowControl w:val="0"/>
              <w:adjustRightInd w:val="0"/>
              <w:snapToGrid w:val="0"/>
              <w:spacing w:before="0" w:beforeAutospacing="0" w:after="0" w:afterAutospacing="0" w:line="260" w:lineRule="exact"/>
              <w:rPr>
                <w:rFonts w:ascii="Times New Roman" w:hAnsi="Times New Roman" w:cs="Times New Roman"/>
                <w:sz w:val="21"/>
                <w:szCs w:val="21"/>
              </w:rPr>
            </w:pPr>
            <w:r>
              <w:rPr>
                <w:rFonts w:ascii="Times New Roman" w:hAnsi="Times New Roman" w:cs="Times New Roman"/>
                <w:sz w:val="21"/>
                <w:szCs w:val="21"/>
              </w:rPr>
              <w:t>%</w:t>
            </w:r>
          </w:p>
        </w:tc>
        <w:tc>
          <w:tcPr>
            <w:tcW w:w="456" w:type="pct"/>
            <w:tcBorders>
              <w:tl2br w:val="nil"/>
              <w:tr2bl w:val="nil"/>
            </w:tcBorders>
            <w:noWrap w:val="0"/>
            <w:vAlign w:val="center"/>
          </w:tcPr>
          <w:p>
            <w:pPr>
              <w:pStyle w:val="7"/>
              <w:widowControl w:val="0"/>
              <w:adjustRightInd w:val="0"/>
              <w:snapToGrid w:val="0"/>
              <w:spacing w:before="0" w:beforeAutospacing="0" w:after="0" w:afterAutospacing="0" w:line="260" w:lineRule="exact"/>
              <w:rPr>
                <w:rFonts w:ascii="Times New Roman" w:hAnsi="Times New Roman" w:cs="Times New Roman"/>
                <w:sz w:val="21"/>
                <w:szCs w:val="21"/>
              </w:rPr>
            </w:pPr>
            <w:r>
              <w:rPr>
                <w:rFonts w:ascii="Times New Roman" w:hAnsi="Times New Roman" w:cs="Times New Roman"/>
                <w:sz w:val="21"/>
                <w:szCs w:val="21"/>
              </w:rPr>
              <w:t>74.67</w:t>
            </w:r>
          </w:p>
        </w:tc>
        <w:tc>
          <w:tcPr>
            <w:tcW w:w="456" w:type="pct"/>
            <w:tcBorders>
              <w:tl2br w:val="nil"/>
              <w:tr2bl w:val="nil"/>
            </w:tcBorders>
            <w:noWrap w:val="0"/>
            <w:vAlign w:val="center"/>
          </w:tcPr>
          <w:p>
            <w:pPr>
              <w:pStyle w:val="7"/>
              <w:widowControl w:val="0"/>
              <w:adjustRightInd w:val="0"/>
              <w:snapToGrid w:val="0"/>
              <w:spacing w:before="0" w:beforeAutospacing="0" w:after="0" w:afterAutospacing="0" w:line="260" w:lineRule="exact"/>
              <w:rPr>
                <w:rFonts w:ascii="Times New Roman" w:hAnsi="Times New Roman" w:cs="Times New Roman"/>
                <w:sz w:val="21"/>
                <w:szCs w:val="21"/>
              </w:rPr>
            </w:pPr>
            <w:r>
              <w:rPr>
                <w:rFonts w:ascii="Times New Roman" w:hAnsi="Times New Roman" w:cs="Times New Roman"/>
                <w:sz w:val="21"/>
                <w:szCs w:val="21"/>
              </w:rPr>
              <w:t>100</w:t>
            </w:r>
          </w:p>
        </w:tc>
        <w:tc>
          <w:tcPr>
            <w:tcW w:w="506" w:type="pct"/>
            <w:tcBorders>
              <w:tl2br w:val="nil"/>
              <w:tr2bl w:val="nil"/>
            </w:tcBorders>
            <w:noWrap w:val="0"/>
            <w:vAlign w:val="center"/>
          </w:tcPr>
          <w:p>
            <w:pPr>
              <w:pStyle w:val="7"/>
              <w:widowControl w:val="0"/>
              <w:adjustRightInd w:val="0"/>
              <w:snapToGrid w:val="0"/>
              <w:spacing w:before="0" w:beforeAutospacing="0" w:after="0" w:afterAutospacing="0" w:line="260" w:lineRule="exact"/>
              <w:rPr>
                <w:rFonts w:ascii="Times New Roman" w:hAnsi="Times New Roman" w:cs="Times New Roman"/>
                <w:sz w:val="21"/>
                <w:szCs w:val="21"/>
              </w:rPr>
            </w:pPr>
            <w:r>
              <w:rPr>
                <w:rFonts w:hint="eastAsia" w:ascii="Times New Roman" w:hAnsi="Times New Roman" w:cs="Times New Roman"/>
                <w:sz w:val="21"/>
                <w:szCs w:val="21"/>
              </w:rPr>
              <w:t>市住房城乡建设局</w:t>
            </w:r>
          </w:p>
        </w:tc>
        <w:tc>
          <w:tcPr>
            <w:tcW w:w="1001" w:type="pct"/>
            <w:tcBorders>
              <w:tl2br w:val="nil"/>
              <w:tr2bl w:val="nil"/>
            </w:tcBorders>
            <w:noWrap w:val="0"/>
            <w:vAlign w:val="center"/>
          </w:tcPr>
          <w:p>
            <w:pPr>
              <w:pStyle w:val="7"/>
              <w:widowControl w:val="0"/>
              <w:adjustRightInd w:val="0"/>
              <w:snapToGrid w:val="0"/>
              <w:spacing w:before="0" w:beforeAutospacing="0" w:after="0" w:afterAutospacing="0" w:line="260" w:lineRule="exact"/>
              <w:jc w:val="both"/>
              <w:rPr>
                <w:rFonts w:ascii="Times New Roman" w:hAnsi="Times New Roman" w:cs="Times New Roman"/>
                <w:sz w:val="21"/>
                <w:szCs w:val="21"/>
              </w:rPr>
            </w:pPr>
            <w:r>
              <w:rPr>
                <w:rFonts w:ascii="Times New Roman" w:hAnsi="Times New Roman" w:cs="Times New Roman"/>
                <w:sz w:val="21"/>
                <w:szCs w:val="21"/>
              </w:rPr>
              <w:t>1</w:t>
            </w:r>
            <w:r>
              <w:rPr>
                <w:rFonts w:hint="eastAsia" w:ascii="Times New Roman" w:hAnsi="Times New Roman" w:cs="Times New Roman"/>
                <w:sz w:val="21"/>
                <w:szCs w:val="21"/>
              </w:rPr>
              <w:t>、《广东省建筑节能与绿色建筑发展</w:t>
            </w:r>
            <w:r>
              <w:rPr>
                <w:rFonts w:ascii="Times New Roman" w:hAnsi="Times New Roman" w:cs="Times New Roman"/>
                <w:sz w:val="21"/>
                <w:szCs w:val="21"/>
              </w:rPr>
              <w:t>“</w:t>
            </w:r>
            <w:r>
              <w:rPr>
                <w:rFonts w:hint="eastAsia" w:ascii="Times New Roman" w:hAnsi="Times New Roman" w:cs="Times New Roman"/>
                <w:sz w:val="21"/>
                <w:szCs w:val="21"/>
              </w:rPr>
              <w:t>十四五</w:t>
            </w:r>
            <w:r>
              <w:rPr>
                <w:rFonts w:ascii="Times New Roman" w:hAnsi="Times New Roman" w:cs="Times New Roman"/>
                <w:sz w:val="21"/>
                <w:szCs w:val="21"/>
              </w:rPr>
              <w:t>”</w:t>
            </w:r>
            <w:r>
              <w:rPr>
                <w:rFonts w:hint="eastAsia" w:ascii="Times New Roman" w:hAnsi="Times New Roman" w:cs="Times New Roman"/>
                <w:sz w:val="21"/>
                <w:szCs w:val="21"/>
              </w:rPr>
              <w:t>规划》：到</w:t>
            </w:r>
            <w:r>
              <w:rPr>
                <w:rFonts w:ascii="Times New Roman" w:hAnsi="Times New Roman" w:cs="Times New Roman"/>
                <w:sz w:val="21"/>
                <w:szCs w:val="21"/>
              </w:rPr>
              <w:t>2025</w:t>
            </w:r>
            <w:r>
              <w:rPr>
                <w:rFonts w:hint="eastAsia" w:ascii="Times New Roman" w:hAnsi="Times New Roman" w:cs="Times New Roman"/>
                <w:sz w:val="21"/>
                <w:szCs w:val="21"/>
              </w:rPr>
              <w:t>年，建筑能源利用效率稳步提升，建筑能耗和碳排放增长趋势得到有效控制，绿色建筑全面建设。（主要是民用）</w:t>
            </w:r>
          </w:p>
          <w:p>
            <w:pPr>
              <w:pStyle w:val="7"/>
              <w:widowControl w:val="0"/>
              <w:adjustRightInd w:val="0"/>
              <w:snapToGrid w:val="0"/>
              <w:spacing w:before="0" w:beforeAutospacing="0" w:after="0" w:afterAutospacing="0" w:line="260" w:lineRule="exact"/>
              <w:jc w:val="both"/>
              <w:rPr>
                <w:rFonts w:hint="eastAsia" w:ascii="Times New Roman" w:hAnsi="Times New Roman" w:eastAsia="宋体" w:cs="Times New Roman"/>
                <w:sz w:val="21"/>
                <w:szCs w:val="21"/>
                <w:lang w:eastAsia="zh-CN"/>
              </w:rPr>
            </w:pPr>
            <w:r>
              <w:rPr>
                <w:rFonts w:ascii="Times New Roman" w:hAnsi="Times New Roman" w:cs="Times New Roman"/>
                <w:sz w:val="21"/>
                <w:szCs w:val="21"/>
              </w:rPr>
              <w:t>2</w:t>
            </w:r>
            <w:r>
              <w:rPr>
                <w:rFonts w:hint="eastAsia" w:ascii="Times New Roman" w:hAnsi="Times New Roman" w:cs="Times New Roman"/>
                <w:sz w:val="21"/>
                <w:szCs w:val="21"/>
              </w:rPr>
              <w:t>、参考《汕尾市绿色建筑发展专项规划（</w:t>
            </w:r>
            <w:r>
              <w:rPr>
                <w:rFonts w:ascii="Times New Roman" w:hAnsi="Times New Roman" w:cs="Times New Roman"/>
                <w:sz w:val="21"/>
                <w:szCs w:val="21"/>
              </w:rPr>
              <w:t>2022-2035</w:t>
            </w:r>
            <w:r>
              <w:rPr>
                <w:rFonts w:hint="eastAsia" w:ascii="Times New Roman" w:hAnsi="Times New Roman" w:cs="Times New Roman"/>
                <w:sz w:val="21"/>
                <w:szCs w:val="21"/>
              </w:rPr>
              <w:t>年）》</w:t>
            </w:r>
            <w:r>
              <w:rPr>
                <w:rFonts w:hint="eastAsia" w:ascii="Times New Roman" w:hAnsi="Times New Roman" w:cs="Times New Roman"/>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67" w:type="pct"/>
            <w:tcBorders>
              <w:tl2br w:val="nil"/>
              <w:tr2bl w:val="nil"/>
            </w:tcBorders>
            <w:noWrap w:val="0"/>
            <w:vAlign w:val="center"/>
          </w:tcPr>
          <w:p>
            <w:pPr>
              <w:pStyle w:val="7"/>
              <w:widowControl w:val="0"/>
              <w:numPr>
                <w:ilvl w:val="0"/>
                <w:numId w:val="1"/>
              </w:numPr>
              <w:tabs>
                <w:tab w:val="left" w:pos="210"/>
              </w:tabs>
              <w:adjustRightInd w:val="0"/>
              <w:snapToGrid w:val="0"/>
              <w:spacing w:before="0" w:beforeAutospacing="0" w:after="0" w:afterAutospacing="0" w:line="260" w:lineRule="exact"/>
              <w:rPr>
                <w:rFonts w:ascii="Times New Roman" w:hAnsi="Times New Roman" w:cs="Times New Roman"/>
                <w:sz w:val="21"/>
                <w:szCs w:val="21"/>
              </w:rPr>
            </w:pPr>
          </w:p>
        </w:tc>
        <w:tc>
          <w:tcPr>
            <w:tcW w:w="360" w:type="pct"/>
            <w:vMerge w:val="continue"/>
            <w:tcBorders>
              <w:tl2br w:val="nil"/>
              <w:tr2bl w:val="nil"/>
            </w:tcBorders>
            <w:noWrap w:val="0"/>
            <w:vAlign w:val="center"/>
          </w:tcPr>
          <w:p>
            <w:pPr>
              <w:pStyle w:val="7"/>
              <w:widowControl w:val="0"/>
              <w:adjustRightInd w:val="0"/>
              <w:snapToGrid w:val="0"/>
              <w:spacing w:before="0" w:beforeAutospacing="0" w:after="0" w:afterAutospacing="0" w:line="260" w:lineRule="exact"/>
              <w:rPr>
                <w:rFonts w:ascii="Times New Roman" w:hAnsi="Times New Roman" w:cs="Times New Roman"/>
                <w:sz w:val="21"/>
                <w:szCs w:val="21"/>
              </w:rPr>
            </w:pPr>
          </w:p>
        </w:tc>
        <w:tc>
          <w:tcPr>
            <w:tcW w:w="535" w:type="pct"/>
            <w:vMerge w:val="restart"/>
            <w:tcBorders>
              <w:tl2br w:val="nil"/>
              <w:tr2bl w:val="nil"/>
            </w:tcBorders>
            <w:noWrap w:val="0"/>
            <w:vAlign w:val="center"/>
          </w:tcPr>
          <w:p>
            <w:pPr>
              <w:pStyle w:val="7"/>
              <w:widowControl w:val="0"/>
              <w:adjustRightInd w:val="0"/>
              <w:snapToGrid w:val="0"/>
              <w:spacing w:before="0" w:beforeAutospacing="0" w:after="0" w:afterAutospacing="0" w:line="260" w:lineRule="exact"/>
              <w:rPr>
                <w:rFonts w:ascii="Times New Roman" w:hAnsi="Times New Roman" w:cs="Times New Roman"/>
                <w:sz w:val="21"/>
                <w:szCs w:val="21"/>
              </w:rPr>
            </w:pPr>
            <w:r>
              <w:rPr>
                <w:rFonts w:hint="eastAsia" w:ascii="Times New Roman" w:hAnsi="Times New Roman" w:cs="Times New Roman"/>
                <w:sz w:val="21"/>
                <w:szCs w:val="21"/>
              </w:rPr>
              <w:t>生活领域源头减量</w:t>
            </w:r>
          </w:p>
        </w:tc>
        <w:tc>
          <w:tcPr>
            <w:tcW w:w="1114" w:type="pct"/>
            <w:tcBorders>
              <w:tl2br w:val="nil"/>
              <w:tr2bl w:val="nil"/>
            </w:tcBorders>
            <w:noWrap w:val="0"/>
            <w:vAlign w:val="center"/>
          </w:tcPr>
          <w:p>
            <w:pPr>
              <w:pStyle w:val="7"/>
              <w:widowControl w:val="0"/>
              <w:adjustRightInd w:val="0"/>
              <w:snapToGrid w:val="0"/>
              <w:spacing w:before="0" w:beforeAutospacing="0" w:after="0" w:afterAutospacing="0" w:line="260" w:lineRule="exact"/>
              <w:rPr>
                <w:rFonts w:ascii="Times New Roman" w:hAnsi="Times New Roman" w:cs="Times New Roman"/>
                <w:sz w:val="21"/>
                <w:szCs w:val="21"/>
              </w:rPr>
            </w:pPr>
            <w:r>
              <w:rPr>
                <w:rFonts w:hint="eastAsia" w:ascii="Times New Roman" w:hAnsi="Times New Roman" w:cs="Times New Roman"/>
                <w:sz w:val="21"/>
                <w:szCs w:val="21"/>
              </w:rPr>
              <w:t>生活垃圾清运量</w:t>
            </w:r>
            <w:r>
              <w:rPr>
                <w:rFonts w:hint="eastAsia" w:ascii="Segoe UI Symbol" w:hAnsi="Segoe UI Symbol" w:cs="Segoe UI Symbol"/>
                <w:sz w:val="21"/>
                <w:szCs w:val="21"/>
              </w:rPr>
              <w:t>★</w:t>
            </w:r>
          </w:p>
        </w:tc>
        <w:tc>
          <w:tcPr>
            <w:tcW w:w="405" w:type="pct"/>
            <w:tcBorders>
              <w:tl2br w:val="nil"/>
              <w:tr2bl w:val="nil"/>
            </w:tcBorders>
            <w:noWrap w:val="0"/>
            <w:vAlign w:val="center"/>
          </w:tcPr>
          <w:p>
            <w:pPr>
              <w:pStyle w:val="7"/>
              <w:widowControl w:val="0"/>
              <w:adjustRightInd w:val="0"/>
              <w:snapToGrid w:val="0"/>
              <w:spacing w:before="0" w:beforeAutospacing="0" w:after="0" w:afterAutospacing="0" w:line="260" w:lineRule="exact"/>
              <w:rPr>
                <w:rFonts w:ascii="Times New Roman" w:hAnsi="Times New Roman" w:cs="Times New Roman"/>
                <w:sz w:val="21"/>
                <w:szCs w:val="21"/>
              </w:rPr>
            </w:pPr>
            <w:r>
              <w:rPr>
                <w:rFonts w:ascii="Times New Roman" w:hAnsi="Times New Roman" w:cs="Times New Roman"/>
                <w:sz w:val="21"/>
                <w:szCs w:val="21"/>
              </w:rPr>
              <w:t>万吨</w:t>
            </w:r>
          </w:p>
        </w:tc>
        <w:tc>
          <w:tcPr>
            <w:tcW w:w="456" w:type="pct"/>
            <w:tcBorders>
              <w:tl2br w:val="nil"/>
              <w:tr2bl w:val="nil"/>
            </w:tcBorders>
            <w:noWrap w:val="0"/>
            <w:vAlign w:val="center"/>
          </w:tcPr>
          <w:p>
            <w:pPr>
              <w:pStyle w:val="7"/>
              <w:widowControl w:val="0"/>
              <w:adjustRightInd w:val="0"/>
              <w:snapToGrid w:val="0"/>
              <w:spacing w:before="0" w:beforeAutospacing="0" w:after="0" w:afterAutospacing="0" w:line="260" w:lineRule="exact"/>
              <w:rPr>
                <w:rFonts w:ascii="Times New Roman" w:hAnsi="Times New Roman" w:cs="Times New Roman"/>
                <w:sz w:val="21"/>
                <w:szCs w:val="21"/>
              </w:rPr>
            </w:pPr>
            <w:r>
              <w:rPr>
                <w:rFonts w:ascii="Times New Roman" w:hAnsi="Times New Roman" w:cs="Times New Roman"/>
                <w:sz w:val="21"/>
                <w:szCs w:val="21"/>
              </w:rPr>
              <w:t>84.88</w:t>
            </w:r>
          </w:p>
        </w:tc>
        <w:tc>
          <w:tcPr>
            <w:tcW w:w="456" w:type="pct"/>
            <w:tcBorders>
              <w:tl2br w:val="nil"/>
              <w:tr2bl w:val="nil"/>
            </w:tcBorders>
            <w:noWrap w:val="0"/>
            <w:vAlign w:val="center"/>
          </w:tcPr>
          <w:p>
            <w:pPr>
              <w:pStyle w:val="7"/>
              <w:widowControl w:val="0"/>
              <w:adjustRightInd w:val="0"/>
              <w:snapToGrid w:val="0"/>
              <w:spacing w:before="0" w:beforeAutospacing="0" w:after="0" w:afterAutospacing="0" w:line="260" w:lineRule="exact"/>
              <w:rPr>
                <w:rFonts w:ascii="Times New Roman" w:hAnsi="Times New Roman" w:cs="Times New Roman"/>
                <w:sz w:val="21"/>
                <w:szCs w:val="21"/>
              </w:rPr>
            </w:pPr>
            <w:r>
              <w:rPr>
                <w:rFonts w:ascii="Times New Roman" w:hAnsi="Times New Roman" w:cs="Times New Roman"/>
                <w:sz w:val="21"/>
                <w:szCs w:val="21"/>
              </w:rPr>
              <w:t>87.49</w:t>
            </w:r>
          </w:p>
        </w:tc>
        <w:tc>
          <w:tcPr>
            <w:tcW w:w="506" w:type="pct"/>
            <w:tcBorders>
              <w:tl2br w:val="nil"/>
              <w:tr2bl w:val="nil"/>
            </w:tcBorders>
            <w:noWrap w:val="0"/>
            <w:vAlign w:val="center"/>
          </w:tcPr>
          <w:p>
            <w:pPr>
              <w:pStyle w:val="7"/>
              <w:widowControl w:val="0"/>
              <w:adjustRightInd w:val="0"/>
              <w:snapToGrid w:val="0"/>
              <w:spacing w:before="0" w:beforeAutospacing="0" w:after="0" w:afterAutospacing="0" w:line="260" w:lineRule="exact"/>
              <w:rPr>
                <w:rFonts w:ascii="Times New Roman" w:hAnsi="Times New Roman" w:cs="Times New Roman"/>
                <w:sz w:val="21"/>
                <w:szCs w:val="21"/>
              </w:rPr>
            </w:pPr>
            <w:r>
              <w:rPr>
                <w:rFonts w:ascii="Times New Roman" w:hAnsi="Times New Roman" w:cs="Times New Roman"/>
                <w:sz w:val="21"/>
                <w:szCs w:val="21"/>
              </w:rPr>
              <w:t>市住房城乡建设局</w:t>
            </w:r>
          </w:p>
        </w:tc>
        <w:tc>
          <w:tcPr>
            <w:tcW w:w="1001" w:type="pct"/>
            <w:tcBorders>
              <w:tl2br w:val="nil"/>
              <w:tr2bl w:val="nil"/>
            </w:tcBorders>
            <w:noWrap w:val="0"/>
            <w:vAlign w:val="center"/>
          </w:tcPr>
          <w:p>
            <w:pPr>
              <w:pStyle w:val="7"/>
              <w:widowControl w:val="0"/>
              <w:adjustRightInd w:val="0"/>
              <w:snapToGrid w:val="0"/>
              <w:spacing w:before="0" w:beforeAutospacing="0" w:after="0" w:afterAutospacing="0" w:line="260" w:lineRule="exact"/>
              <w:jc w:val="both"/>
              <w:rPr>
                <w:rFonts w:hint="eastAsia" w:ascii="Times New Roman" w:hAnsi="Times New Roman" w:eastAsia="宋体" w:cs="Times New Roman"/>
                <w:sz w:val="21"/>
                <w:szCs w:val="21"/>
                <w:lang w:eastAsia="zh-CN"/>
              </w:rPr>
            </w:pPr>
            <w:r>
              <w:rPr>
                <w:rFonts w:ascii="Times New Roman" w:hAnsi="Times New Roman" w:cs="Times New Roman"/>
                <w:sz w:val="21"/>
                <w:szCs w:val="21"/>
              </w:rPr>
              <w:t>《汕尾市生活垃圾分类专项规划（2021-2035年》</w:t>
            </w:r>
            <w:r>
              <w:rPr>
                <w:rFonts w:hint="eastAsia" w:ascii="Times New Roman" w:hAnsi="Times New Roman" w:cs="Times New Roman"/>
                <w:sz w:val="21"/>
                <w:szCs w:val="21"/>
              </w:rPr>
              <w:t>对</w:t>
            </w:r>
            <w:r>
              <w:rPr>
                <w:rFonts w:ascii="Times New Roman" w:hAnsi="Times New Roman" w:cs="Times New Roman"/>
                <w:sz w:val="21"/>
                <w:szCs w:val="21"/>
              </w:rPr>
              <w:t>2025</w:t>
            </w:r>
            <w:r>
              <w:rPr>
                <w:rFonts w:hint="eastAsia" w:ascii="Times New Roman" w:hAnsi="Times New Roman" w:cs="Times New Roman"/>
                <w:sz w:val="21"/>
                <w:szCs w:val="21"/>
              </w:rPr>
              <w:t>年的</w:t>
            </w:r>
            <w:r>
              <w:rPr>
                <w:rFonts w:ascii="Times New Roman" w:hAnsi="Times New Roman" w:cs="Times New Roman"/>
                <w:sz w:val="21"/>
                <w:szCs w:val="21"/>
              </w:rPr>
              <w:t>预测数据</w:t>
            </w:r>
            <w:r>
              <w:rPr>
                <w:rFonts w:hint="eastAsia" w:ascii="Times New Roman" w:hAnsi="Times New Roman" w:cs="Times New Roman"/>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67" w:type="pct"/>
            <w:tcBorders>
              <w:tl2br w:val="nil"/>
              <w:tr2bl w:val="nil"/>
            </w:tcBorders>
            <w:noWrap w:val="0"/>
            <w:vAlign w:val="center"/>
          </w:tcPr>
          <w:p>
            <w:pPr>
              <w:pStyle w:val="7"/>
              <w:widowControl w:val="0"/>
              <w:numPr>
                <w:ilvl w:val="0"/>
                <w:numId w:val="1"/>
              </w:numPr>
              <w:tabs>
                <w:tab w:val="left" w:pos="210"/>
              </w:tabs>
              <w:adjustRightInd w:val="0"/>
              <w:snapToGrid w:val="0"/>
              <w:spacing w:before="0" w:beforeAutospacing="0" w:after="0" w:afterAutospacing="0" w:line="260" w:lineRule="exact"/>
              <w:rPr>
                <w:rFonts w:ascii="Times New Roman" w:hAnsi="Times New Roman" w:cs="Times New Roman"/>
                <w:sz w:val="21"/>
                <w:szCs w:val="21"/>
              </w:rPr>
            </w:pPr>
          </w:p>
        </w:tc>
        <w:tc>
          <w:tcPr>
            <w:tcW w:w="360" w:type="pct"/>
            <w:vMerge w:val="continue"/>
            <w:tcBorders>
              <w:tl2br w:val="nil"/>
              <w:tr2bl w:val="nil"/>
            </w:tcBorders>
            <w:noWrap w:val="0"/>
            <w:vAlign w:val="center"/>
          </w:tcPr>
          <w:p>
            <w:pPr>
              <w:pStyle w:val="7"/>
              <w:widowControl w:val="0"/>
              <w:adjustRightInd w:val="0"/>
              <w:snapToGrid w:val="0"/>
              <w:spacing w:before="0" w:beforeAutospacing="0" w:after="0" w:afterAutospacing="0" w:line="260" w:lineRule="exact"/>
              <w:rPr>
                <w:rFonts w:ascii="Times New Roman" w:hAnsi="Times New Roman" w:cs="Times New Roman"/>
                <w:sz w:val="21"/>
                <w:szCs w:val="21"/>
              </w:rPr>
            </w:pPr>
          </w:p>
        </w:tc>
        <w:tc>
          <w:tcPr>
            <w:tcW w:w="535" w:type="pct"/>
            <w:vMerge w:val="continue"/>
            <w:tcBorders>
              <w:tl2br w:val="nil"/>
              <w:tr2bl w:val="nil"/>
            </w:tcBorders>
            <w:noWrap w:val="0"/>
            <w:vAlign w:val="center"/>
          </w:tcPr>
          <w:p>
            <w:pPr>
              <w:pStyle w:val="7"/>
              <w:widowControl w:val="0"/>
              <w:adjustRightInd w:val="0"/>
              <w:snapToGrid w:val="0"/>
              <w:spacing w:before="0" w:beforeAutospacing="0" w:after="0" w:afterAutospacing="0" w:line="260" w:lineRule="exact"/>
              <w:rPr>
                <w:rFonts w:ascii="Times New Roman" w:hAnsi="Times New Roman" w:cs="Times New Roman"/>
                <w:sz w:val="21"/>
                <w:szCs w:val="21"/>
              </w:rPr>
            </w:pPr>
          </w:p>
        </w:tc>
        <w:tc>
          <w:tcPr>
            <w:tcW w:w="1114" w:type="pct"/>
            <w:tcBorders>
              <w:tl2br w:val="nil"/>
              <w:tr2bl w:val="nil"/>
            </w:tcBorders>
            <w:noWrap w:val="0"/>
            <w:vAlign w:val="center"/>
          </w:tcPr>
          <w:p>
            <w:pPr>
              <w:pStyle w:val="7"/>
              <w:widowControl w:val="0"/>
              <w:adjustRightInd w:val="0"/>
              <w:snapToGrid w:val="0"/>
              <w:spacing w:before="0" w:beforeAutospacing="0" w:after="0" w:afterAutospacing="0" w:line="260" w:lineRule="exact"/>
              <w:rPr>
                <w:rFonts w:ascii="Times New Roman" w:hAnsi="Times New Roman" w:cs="Times New Roman"/>
                <w:sz w:val="21"/>
                <w:szCs w:val="21"/>
              </w:rPr>
            </w:pPr>
            <w:r>
              <w:rPr>
                <w:rFonts w:hint="eastAsia" w:ascii="Times New Roman" w:hAnsi="Times New Roman" w:cs="Times New Roman"/>
                <w:sz w:val="21"/>
                <w:szCs w:val="21"/>
              </w:rPr>
              <w:t>城市居民小区生活垃圾分类覆盖率</w:t>
            </w:r>
          </w:p>
        </w:tc>
        <w:tc>
          <w:tcPr>
            <w:tcW w:w="405" w:type="pct"/>
            <w:tcBorders>
              <w:tl2br w:val="nil"/>
              <w:tr2bl w:val="nil"/>
            </w:tcBorders>
            <w:noWrap w:val="0"/>
            <w:vAlign w:val="center"/>
          </w:tcPr>
          <w:p>
            <w:pPr>
              <w:pStyle w:val="7"/>
              <w:widowControl w:val="0"/>
              <w:adjustRightInd w:val="0"/>
              <w:snapToGrid w:val="0"/>
              <w:spacing w:before="0" w:beforeAutospacing="0" w:after="0" w:afterAutospacing="0" w:line="260" w:lineRule="exact"/>
              <w:rPr>
                <w:rFonts w:ascii="Times New Roman" w:hAnsi="Times New Roman" w:cs="Times New Roman"/>
                <w:sz w:val="21"/>
                <w:szCs w:val="21"/>
              </w:rPr>
            </w:pPr>
            <w:r>
              <w:rPr>
                <w:rFonts w:ascii="Times New Roman" w:hAnsi="Times New Roman" w:cs="Times New Roman"/>
                <w:sz w:val="21"/>
                <w:szCs w:val="21"/>
              </w:rPr>
              <w:t>%</w:t>
            </w:r>
          </w:p>
        </w:tc>
        <w:tc>
          <w:tcPr>
            <w:tcW w:w="456" w:type="pct"/>
            <w:tcBorders>
              <w:tl2br w:val="nil"/>
              <w:tr2bl w:val="nil"/>
            </w:tcBorders>
            <w:noWrap w:val="0"/>
            <w:vAlign w:val="center"/>
          </w:tcPr>
          <w:p>
            <w:pPr>
              <w:pStyle w:val="7"/>
              <w:widowControl w:val="0"/>
              <w:adjustRightInd w:val="0"/>
              <w:snapToGrid w:val="0"/>
              <w:spacing w:before="0" w:beforeAutospacing="0" w:after="0" w:afterAutospacing="0" w:line="260" w:lineRule="exact"/>
              <w:rPr>
                <w:rFonts w:ascii="Times New Roman" w:hAnsi="Times New Roman" w:cs="Times New Roman"/>
                <w:sz w:val="21"/>
                <w:szCs w:val="21"/>
              </w:rPr>
            </w:pPr>
            <w:r>
              <w:rPr>
                <w:rFonts w:hint="eastAsia" w:ascii="Times New Roman" w:hAnsi="Times New Roman" w:cs="Times New Roman"/>
                <w:sz w:val="21"/>
                <w:szCs w:val="21"/>
              </w:rPr>
              <w:t>100</w:t>
            </w:r>
          </w:p>
        </w:tc>
        <w:tc>
          <w:tcPr>
            <w:tcW w:w="456"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rFonts w:hint="eastAsia" w:ascii="Times New Roman" w:hAnsi="Times New Roman" w:cs="Times New Roman"/>
                <w:sz w:val="21"/>
                <w:szCs w:val="21"/>
              </w:rPr>
              <w:t>100</w:t>
            </w:r>
          </w:p>
        </w:tc>
        <w:tc>
          <w:tcPr>
            <w:tcW w:w="506"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rFonts w:hint="eastAsia" w:ascii="Times New Roman" w:hAnsi="Times New Roman" w:cs="Times New Roman"/>
                <w:sz w:val="21"/>
                <w:szCs w:val="21"/>
              </w:rPr>
              <w:t>市住房城乡建设局</w:t>
            </w:r>
          </w:p>
        </w:tc>
        <w:tc>
          <w:tcPr>
            <w:tcW w:w="1001" w:type="pct"/>
            <w:tcBorders>
              <w:tl2br w:val="nil"/>
              <w:tr2bl w:val="nil"/>
            </w:tcBorders>
            <w:noWrap w:val="0"/>
            <w:vAlign w:val="center"/>
          </w:tcPr>
          <w:p>
            <w:pPr>
              <w:pStyle w:val="7"/>
              <w:widowControl w:val="0"/>
              <w:adjustRightInd w:val="0"/>
              <w:snapToGrid w:val="0"/>
              <w:spacing w:before="0" w:beforeAutospacing="0" w:after="0" w:afterAutospacing="0" w:line="260" w:lineRule="exact"/>
              <w:jc w:val="both"/>
              <w:rPr>
                <w:rFonts w:ascii="Times New Roman" w:hAnsi="Times New Roman" w:cs="Times New Roman"/>
                <w:sz w:val="21"/>
                <w:szCs w:val="21"/>
              </w:rPr>
            </w:pPr>
            <w:r>
              <w:rPr>
                <w:rFonts w:ascii="Times New Roman" w:hAnsi="Times New Roman" w:cs="Times New Roman"/>
                <w:sz w:val="21"/>
                <w:szCs w:val="21"/>
              </w:rPr>
              <w:t>《广东省生活垃圾处理“十四五”规划》要求：到2025年，全省地级以上市和具备条件的县城基本建成生活垃圾分类处理系统。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67" w:type="pct"/>
            <w:tcBorders>
              <w:tl2br w:val="nil"/>
              <w:tr2bl w:val="nil"/>
            </w:tcBorders>
            <w:noWrap w:val="0"/>
            <w:vAlign w:val="center"/>
          </w:tcPr>
          <w:p>
            <w:pPr>
              <w:pStyle w:val="7"/>
              <w:widowControl w:val="0"/>
              <w:numPr>
                <w:ilvl w:val="0"/>
                <w:numId w:val="1"/>
              </w:numPr>
              <w:tabs>
                <w:tab w:val="left" w:pos="210"/>
              </w:tabs>
              <w:adjustRightInd w:val="0"/>
              <w:snapToGrid w:val="0"/>
              <w:spacing w:before="0" w:beforeAutospacing="0" w:after="0" w:afterAutospacing="0" w:line="260" w:lineRule="exact"/>
              <w:rPr>
                <w:rFonts w:ascii="Times New Roman" w:hAnsi="Times New Roman" w:cs="Times New Roman"/>
                <w:sz w:val="21"/>
                <w:szCs w:val="21"/>
              </w:rPr>
            </w:pPr>
          </w:p>
        </w:tc>
        <w:tc>
          <w:tcPr>
            <w:tcW w:w="360" w:type="pct"/>
            <w:vMerge w:val="continue"/>
            <w:tcBorders>
              <w:tl2br w:val="nil"/>
              <w:tr2bl w:val="nil"/>
            </w:tcBorders>
            <w:noWrap w:val="0"/>
            <w:vAlign w:val="center"/>
          </w:tcPr>
          <w:p>
            <w:pPr>
              <w:pStyle w:val="7"/>
              <w:widowControl w:val="0"/>
              <w:adjustRightInd w:val="0"/>
              <w:snapToGrid w:val="0"/>
              <w:spacing w:before="0" w:beforeAutospacing="0" w:after="0" w:afterAutospacing="0" w:line="260" w:lineRule="exact"/>
              <w:rPr>
                <w:rFonts w:ascii="Times New Roman" w:hAnsi="Times New Roman" w:cs="Times New Roman"/>
                <w:sz w:val="21"/>
                <w:szCs w:val="21"/>
              </w:rPr>
            </w:pPr>
          </w:p>
        </w:tc>
        <w:tc>
          <w:tcPr>
            <w:tcW w:w="535" w:type="pct"/>
            <w:vMerge w:val="continue"/>
            <w:tcBorders>
              <w:tl2br w:val="nil"/>
              <w:tr2bl w:val="nil"/>
            </w:tcBorders>
            <w:noWrap w:val="0"/>
            <w:vAlign w:val="center"/>
          </w:tcPr>
          <w:p>
            <w:pPr>
              <w:pStyle w:val="7"/>
              <w:widowControl w:val="0"/>
              <w:adjustRightInd w:val="0"/>
              <w:snapToGrid w:val="0"/>
              <w:spacing w:before="0" w:beforeAutospacing="0" w:after="0" w:afterAutospacing="0" w:line="260" w:lineRule="exact"/>
              <w:rPr>
                <w:rFonts w:ascii="Times New Roman" w:hAnsi="Times New Roman" w:cs="Times New Roman"/>
                <w:sz w:val="21"/>
                <w:szCs w:val="21"/>
              </w:rPr>
            </w:pPr>
          </w:p>
        </w:tc>
        <w:tc>
          <w:tcPr>
            <w:tcW w:w="1114" w:type="pct"/>
            <w:tcBorders>
              <w:tl2br w:val="nil"/>
              <w:tr2bl w:val="nil"/>
            </w:tcBorders>
            <w:noWrap w:val="0"/>
            <w:vAlign w:val="center"/>
          </w:tcPr>
          <w:p>
            <w:pPr>
              <w:pStyle w:val="7"/>
              <w:widowControl w:val="0"/>
              <w:adjustRightInd w:val="0"/>
              <w:snapToGrid w:val="0"/>
              <w:spacing w:before="0" w:beforeAutospacing="0" w:after="0" w:afterAutospacing="0" w:line="260" w:lineRule="exact"/>
              <w:rPr>
                <w:rFonts w:ascii="Times New Roman" w:hAnsi="Times New Roman" w:cs="Times New Roman"/>
                <w:sz w:val="21"/>
                <w:szCs w:val="21"/>
              </w:rPr>
            </w:pPr>
            <w:r>
              <w:rPr>
                <w:rFonts w:hint="eastAsia" w:ascii="Times New Roman" w:hAnsi="Times New Roman" w:cs="Times New Roman"/>
                <w:sz w:val="21"/>
                <w:szCs w:val="21"/>
              </w:rPr>
              <w:t>农村地区生活垃圾分类系统覆盖率</w:t>
            </w:r>
          </w:p>
        </w:tc>
        <w:tc>
          <w:tcPr>
            <w:tcW w:w="405" w:type="pct"/>
            <w:tcBorders>
              <w:tl2br w:val="nil"/>
              <w:tr2bl w:val="nil"/>
            </w:tcBorders>
            <w:noWrap w:val="0"/>
            <w:vAlign w:val="center"/>
          </w:tcPr>
          <w:p>
            <w:pPr>
              <w:pStyle w:val="7"/>
              <w:widowControl w:val="0"/>
              <w:adjustRightInd w:val="0"/>
              <w:snapToGrid w:val="0"/>
              <w:spacing w:before="0" w:beforeAutospacing="0" w:after="0" w:afterAutospacing="0" w:line="260" w:lineRule="exact"/>
              <w:rPr>
                <w:rFonts w:ascii="Times New Roman" w:hAnsi="Times New Roman" w:cs="Times New Roman"/>
                <w:sz w:val="21"/>
                <w:szCs w:val="21"/>
              </w:rPr>
            </w:pPr>
            <w:r>
              <w:rPr>
                <w:rFonts w:ascii="Times New Roman" w:hAnsi="Times New Roman" w:cs="Times New Roman"/>
                <w:sz w:val="21"/>
                <w:szCs w:val="21"/>
              </w:rPr>
              <w:t>%</w:t>
            </w:r>
          </w:p>
        </w:tc>
        <w:tc>
          <w:tcPr>
            <w:tcW w:w="456" w:type="pct"/>
            <w:tcBorders>
              <w:tl2br w:val="nil"/>
              <w:tr2bl w:val="nil"/>
            </w:tcBorders>
            <w:noWrap w:val="0"/>
            <w:vAlign w:val="center"/>
          </w:tcPr>
          <w:p>
            <w:pPr>
              <w:pStyle w:val="7"/>
              <w:widowControl w:val="0"/>
              <w:adjustRightInd w:val="0"/>
              <w:snapToGrid w:val="0"/>
              <w:spacing w:before="0" w:beforeAutospacing="0" w:after="0" w:afterAutospacing="0" w:line="260" w:lineRule="exact"/>
              <w:rPr>
                <w:rFonts w:ascii="Times New Roman" w:hAnsi="Times New Roman" w:cs="Times New Roman"/>
                <w:sz w:val="21"/>
                <w:szCs w:val="21"/>
              </w:rPr>
            </w:pPr>
            <w:r>
              <w:rPr>
                <w:rFonts w:ascii="Times New Roman" w:hAnsi="Times New Roman" w:cs="Times New Roman"/>
                <w:sz w:val="21"/>
                <w:szCs w:val="21"/>
              </w:rPr>
              <w:t>53.73</w:t>
            </w:r>
          </w:p>
        </w:tc>
        <w:tc>
          <w:tcPr>
            <w:tcW w:w="456"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rFonts w:hint="eastAsia" w:ascii="Times New Roman" w:hAnsi="Times New Roman" w:cs="Times New Roman"/>
                <w:sz w:val="21"/>
                <w:szCs w:val="21"/>
              </w:rPr>
              <w:t>60</w:t>
            </w:r>
          </w:p>
        </w:tc>
        <w:tc>
          <w:tcPr>
            <w:tcW w:w="506"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rFonts w:hint="eastAsia" w:ascii="Times New Roman" w:hAnsi="Times New Roman" w:cs="Times New Roman"/>
                <w:sz w:val="21"/>
                <w:szCs w:val="21"/>
              </w:rPr>
              <w:t>市农业农村局、市住房城乡建设局</w:t>
            </w:r>
          </w:p>
        </w:tc>
        <w:tc>
          <w:tcPr>
            <w:tcW w:w="1001" w:type="pct"/>
            <w:tcBorders>
              <w:tl2br w:val="nil"/>
              <w:tr2bl w:val="nil"/>
            </w:tcBorders>
            <w:noWrap w:val="0"/>
            <w:vAlign w:val="center"/>
          </w:tcPr>
          <w:p>
            <w:pPr>
              <w:pStyle w:val="7"/>
              <w:widowControl w:val="0"/>
              <w:adjustRightInd w:val="0"/>
              <w:snapToGrid w:val="0"/>
              <w:spacing w:before="0" w:beforeAutospacing="0" w:after="0" w:afterAutospacing="0" w:line="260" w:lineRule="exact"/>
              <w:jc w:val="both"/>
              <w:rPr>
                <w:rFonts w:hint="eastAsia" w:ascii="Times New Roman" w:hAnsi="Times New Roman" w:eastAsia="宋体" w:cs="Times New Roman"/>
                <w:sz w:val="21"/>
                <w:szCs w:val="21"/>
                <w:lang w:eastAsia="zh-CN"/>
              </w:rPr>
            </w:pPr>
            <w:r>
              <w:rPr>
                <w:rFonts w:ascii="Times New Roman" w:hAnsi="Times New Roman" w:cs="Times New Roman"/>
                <w:sz w:val="21"/>
                <w:szCs w:val="21"/>
              </w:rPr>
              <w:t>在现状基础上有所提升</w:t>
            </w:r>
            <w:r>
              <w:rPr>
                <w:rFonts w:hint="eastAsia" w:ascii="Times New Roman" w:hAnsi="Times New Roman" w:cs="Times New Roman"/>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1" w:hRule="atLeast"/>
          <w:jc w:val="center"/>
        </w:trPr>
        <w:tc>
          <w:tcPr>
            <w:tcW w:w="167" w:type="pct"/>
            <w:tcBorders>
              <w:tl2br w:val="nil"/>
              <w:tr2bl w:val="nil"/>
            </w:tcBorders>
            <w:noWrap w:val="0"/>
            <w:vAlign w:val="center"/>
          </w:tcPr>
          <w:p>
            <w:pPr>
              <w:pStyle w:val="7"/>
              <w:widowControl w:val="0"/>
              <w:numPr>
                <w:ilvl w:val="0"/>
                <w:numId w:val="1"/>
              </w:numPr>
              <w:tabs>
                <w:tab w:val="left" w:pos="210"/>
              </w:tabs>
              <w:adjustRightInd w:val="0"/>
              <w:snapToGrid w:val="0"/>
              <w:spacing w:before="0" w:beforeAutospacing="0" w:after="0" w:afterAutospacing="0" w:line="260" w:lineRule="exact"/>
              <w:rPr>
                <w:rFonts w:ascii="Times New Roman" w:hAnsi="Times New Roman" w:cs="Times New Roman"/>
                <w:sz w:val="21"/>
                <w:szCs w:val="21"/>
              </w:rPr>
            </w:pPr>
          </w:p>
        </w:tc>
        <w:tc>
          <w:tcPr>
            <w:tcW w:w="360" w:type="pct"/>
            <w:vMerge w:val="continue"/>
            <w:tcBorders>
              <w:tl2br w:val="nil"/>
              <w:tr2bl w:val="nil"/>
            </w:tcBorders>
            <w:noWrap w:val="0"/>
            <w:vAlign w:val="center"/>
          </w:tcPr>
          <w:p>
            <w:pPr>
              <w:pStyle w:val="7"/>
              <w:widowControl w:val="0"/>
              <w:adjustRightInd w:val="0"/>
              <w:snapToGrid w:val="0"/>
              <w:spacing w:before="0" w:beforeAutospacing="0" w:after="0" w:afterAutospacing="0" w:line="260" w:lineRule="exact"/>
              <w:rPr>
                <w:rFonts w:ascii="Times New Roman" w:hAnsi="Times New Roman" w:cs="Times New Roman"/>
                <w:sz w:val="21"/>
                <w:szCs w:val="21"/>
              </w:rPr>
            </w:pPr>
          </w:p>
        </w:tc>
        <w:tc>
          <w:tcPr>
            <w:tcW w:w="535" w:type="pct"/>
            <w:vMerge w:val="continue"/>
            <w:tcBorders>
              <w:tl2br w:val="nil"/>
              <w:tr2bl w:val="nil"/>
            </w:tcBorders>
            <w:noWrap w:val="0"/>
            <w:vAlign w:val="center"/>
          </w:tcPr>
          <w:p>
            <w:pPr>
              <w:pStyle w:val="7"/>
              <w:widowControl w:val="0"/>
              <w:adjustRightInd w:val="0"/>
              <w:snapToGrid w:val="0"/>
              <w:spacing w:before="0" w:beforeAutospacing="0" w:after="0" w:afterAutospacing="0" w:line="260" w:lineRule="exact"/>
              <w:rPr>
                <w:rFonts w:ascii="Times New Roman" w:hAnsi="Times New Roman" w:cs="Times New Roman"/>
                <w:sz w:val="21"/>
                <w:szCs w:val="21"/>
              </w:rPr>
            </w:pPr>
          </w:p>
        </w:tc>
        <w:tc>
          <w:tcPr>
            <w:tcW w:w="1114" w:type="pct"/>
            <w:tcBorders>
              <w:tl2br w:val="nil"/>
              <w:tr2bl w:val="nil"/>
            </w:tcBorders>
            <w:noWrap w:val="0"/>
            <w:vAlign w:val="center"/>
          </w:tcPr>
          <w:p>
            <w:pPr>
              <w:pStyle w:val="7"/>
              <w:widowControl w:val="0"/>
              <w:adjustRightInd w:val="0"/>
              <w:snapToGrid w:val="0"/>
              <w:spacing w:before="0" w:beforeAutospacing="0" w:after="0" w:afterAutospacing="0" w:line="260" w:lineRule="exact"/>
              <w:rPr>
                <w:rFonts w:ascii="Times New Roman" w:hAnsi="Times New Roman" w:cs="Times New Roman"/>
                <w:sz w:val="21"/>
                <w:szCs w:val="21"/>
              </w:rPr>
            </w:pPr>
            <w:r>
              <w:rPr>
                <w:rFonts w:hint="eastAsia" w:ascii="Times New Roman" w:hAnsi="Times New Roman" w:cs="Times New Roman"/>
                <w:sz w:val="21"/>
                <w:szCs w:val="21"/>
              </w:rPr>
              <w:t>快递绿色包装使用率</w:t>
            </w:r>
          </w:p>
        </w:tc>
        <w:tc>
          <w:tcPr>
            <w:tcW w:w="405" w:type="pct"/>
            <w:tcBorders>
              <w:tl2br w:val="nil"/>
              <w:tr2bl w:val="nil"/>
            </w:tcBorders>
            <w:noWrap w:val="0"/>
            <w:vAlign w:val="center"/>
          </w:tcPr>
          <w:p>
            <w:pPr>
              <w:pStyle w:val="7"/>
              <w:widowControl w:val="0"/>
              <w:adjustRightInd w:val="0"/>
              <w:snapToGrid w:val="0"/>
              <w:spacing w:before="0" w:beforeAutospacing="0" w:after="0" w:afterAutospacing="0" w:line="260" w:lineRule="exact"/>
              <w:rPr>
                <w:rFonts w:ascii="Times New Roman" w:hAnsi="Times New Roman" w:cs="Times New Roman"/>
                <w:sz w:val="21"/>
                <w:szCs w:val="21"/>
              </w:rPr>
            </w:pPr>
            <w:r>
              <w:rPr>
                <w:rFonts w:ascii="Times New Roman" w:hAnsi="Times New Roman" w:cs="Times New Roman"/>
                <w:sz w:val="21"/>
                <w:szCs w:val="21"/>
              </w:rPr>
              <w:t>%</w:t>
            </w:r>
          </w:p>
        </w:tc>
        <w:tc>
          <w:tcPr>
            <w:tcW w:w="456" w:type="pct"/>
            <w:tcBorders>
              <w:tl2br w:val="nil"/>
              <w:tr2bl w:val="nil"/>
            </w:tcBorders>
            <w:noWrap w:val="0"/>
            <w:vAlign w:val="center"/>
          </w:tcPr>
          <w:p>
            <w:pPr>
              <w:pStyle w:val="7"/>
              <w:widowControl w:val="0"/>
              <w:adjustRightInd w:val="0"/>
              <w:snapToGrid w:val="0"/>
              <w:spacing w:before="0" w:beforeAutospacing="0" w:after="0" w:afterAutospacing="0" w:line="260" w:lineRule="exact"/>
              <w:rPr>
                <w:rFonts w:ascii="Times New Roman" w:hAnsi="Times New Roman" w:cs="Times New Roman"/>
                <w:sz w:val="21"/>
                <w:szCs w:val="21"/>
              </w:rPr>
            </w:pPr>
            <w:r>
              <w:rPr>
                <w:rFonts w:ascii="Times New Roman" w:hAnsi="Times New Roman" w:cs="Times New Roman"/>
                <w:sz w:val="21"/>
                <w:szCs w:val="21"/>
              </w:rPr>
              <w:t>/</w:t>
            </w:r>
          </w:p>
        </w:tc>
        <w:tc>
          <w:tcPr>
            <w:tcW w:w="456"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rFonts w:ascii="Times New Roman" w:hAnsi="Times New Roman" w:cs="Times New Roman"/>
                <w:sz w:val="21"/>
                <w:szCs w:val="21"/>
              </w:rPr>
              <w:t>85</w:t>
            </w:r>
          </w:p>
        </w:tc>
        <w:tc>
          <w:tcPr>
            <w:tcW w:w="506"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rFonts w:hint="eastAsia" w:ascii="Times New Roman" w:hAnsi="Times New Roman" w:cs="Times New Roman"/>
                <w:sz w:val="21"/>
                <w:szCs w:val="21"/>
              </w:rPr>
              <w:t>市邮政管理局</w:t>
            </w:r>
          </w:p>
        </w:tc>
        <w:tc>
          <w:tcPr>
            <w:tcW w:w="1001" w:type="pct"/>
            <w:tcBorders>
              <w:tl2br w:val="nil"/>
              <w:tr2bl w:val="nil"/>
            </w:tcBorders>
            <w:noWrap w:val="0"/>
            <w:vAlign w:val="center"/>
          </w:tcPr>
          <w:p>
            <w:pPr>
              <w:pStyle w:val="7"/>
              <w:widowControl w:val="0"/>
              <w:adjustRightInd w:val="0"/>
              <w:snapToGrid w:val="0"/>
              <w:spacing w:before="0" w:beforeAutospacing="0" w:after="0" w:afterAutospacing="0" w:line="260" w:lineRule="exact"/>
              <w:jc w:val="both"/>
              <w:rPr>
                <w:rFonts w:hint="eastAsia" w:ascii="Times New Roman" w:hAnsi="Times New Roman" w:eastAsia="宋体" w:cs="Times New Roman"/>
                <w:sz w:val="21"/>
                <w:szCs w:val="21"/>
                <w:lang w:eastAsia="zh-CN"/>
              </w:rPr>
            </w:pPr>
            <w:r>
              <w:rPr>
                <w:rFonts w:ascii="Times New Roman" w:hAnsi="Times New Roman" w:cs="Times New Roman"/>
                <w:sz w:val="21"/>
                <w:szCs w:val="21"/>
              </w:rPr>
              <w:t>参考周边城市规划目标值</w:t>
            </w:r>
            <w:r>
              <w:rPr>
                <w:rFonts w:hint="eastAsia" w:ascii="Times New Roman" w:hAnsi="Times New Roman" w:cs="Times New Roman"/>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67" w:type="pct"/>
            <w:tcBorders>
              <w:tl2br w:val="nil"/>
              <w:tr2bl w:val="nil"/>
            </w:tcBorders>
            <w:noWrap w:val="0"/>
            <w:vAlign w:val="center"/>
          </w:tcPr>
          <w:p>
            <w:pPr>
              <w:pStyle w:val="7"/>
              <w:widowControl w:val="0"/>
              <w:numPr>
                <w:ilvl w:val="0"/>
                <w:numId w:val="1"/>
              </w:numPr>
              <w:tabs>
                <w:tab w:val="left" w:pos="210"/>
              </w:tabs>
              <w:adjustRightInd w:val="0"/>
              <w:snapToGrid w:val="0"/>
              <w:spacing w:before="0" w:beforeAutospacing="0" w:after="0" w:afterAutospacing="0" w:line="260" w:lineRule="exact"/>
              <w:rPr>
                <w:rFonts w:ascii="Times New Roman" w:hAnsi="Times New Roman" w:cs="Times New Roman"/>
                <w:sz w:val="21"/>
                <w:szCs w:val="21"/>
              </w:rPr>
            </w:pPr>
          </w:p>
        </w:tc>
        <w:tc>
          <w:tcPr>
            <w:tcW w:w="360" w:type="pct"/>
            <w:vMerge w:val="restar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rFonts w:hint="eastAsia" w:ascii="Times New Roman" w:hAnsi="Times New Roman" w:cs="Times New Roman"/>
                <w:spacing w:val="-6"/>
                <w:sz w:val="21"/>
                <w:szCs w:val="21"/>
              </w:rPr>
              <w:t>固体废物资源化利用</w:t>
            </w:r>
          </w:p>
        </w:tc>
        <w:tc>
          <w:tcPr>
            <w:tcW w:w="535" w:type="pct"/>
            <w:vMerge w:val="restar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rFonts w:hint="eastAsia" w:ascii="Times New Roman" w:hAnsi="Times New Roman" w:cs="Times New Roman"/>
                <w:sz w:val="21"/>
                <w:szCs w:val="21"/>
              </w:rPr>
              <w:t>工业固体废物资源化利用</w:t>
            </w:r>
          </w:p>
        </w:tc>
        <w:tc>
          <w:tcPr>
            <w:tcW w:w="1114"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rFonts w:hint="eastAsia" w:ascii="Times New Roman" w:hAnsi="Times New Roman" w:cs="Times New Roman"/>
                <w:sz w:val="21"/>
                <w:szCs w:val="21"/>
              </w:rPr>
              <w:t>一般工业固体废物综合利用率★</w:t>
            </w:r>
          </w:p>
        </w:tc>
        <w:tc>
          <w:tcPr>
            <w:tcW w:w="405"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rFonts w:ascii="Times New Roman" w:hAnsi="Times New Roman" w:cs="Times New Roman"/>
                <w:sz w:val="21"/>
                <w:szCs w:val="21"/>
              </w:rPr>
              <w:t>%</w:t>
            </w:r>
          </w:p>
        </w:tc>
        <w:tc>
          <w:tcPr>
            <w:tcW w:w="456"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rFonts w:hint="eastAsia" w:ascii="Times New Roman" w:hAnsi="Times New Roman" w:cs="Times New Roman"/>
                <w:sz w:val="21"/>
                <w:szCs w:val="21"/>
              </w:rPr>
              <w:t>98.17</w:t>
            </w:r>
          </w:p>
        </w:tc>
        <w:tc>
          <w:tcPr>
            <w:tcW w:w="456"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rFonts w:ascii="Times New Roman" w:hAnsi="Times New Roman" w:cs="Times New Roman"/>
                <w:sz w:val="21"/>
                <w:szCs w:val="21"/>
              </w:rPr>
              <w:t>9</w:t>
            </w:r>
            <w:r>
              <w:rPr>
                <w:rFonts w:hint="eastAsia" w:ascii="Times New Roman" w:hAnsi="Times New Roman" w:cs="Times New Roman"/>
                <w:sz w:val="21"/>
                <w:szCs w:val="21"/>
              </w:rPr>
              <w:t>8</w:t>
            </w:r>
            <w:r>
              <w:rPr>
                <w:rFonts w:ascii="Times New Roman" w:hAnsi="Times New Roman" w:cs="Times New Roman"/>
                <w:sz w:val="21"/>
                <w:szCs w:val="21"/>
              </w:rPr>
              <w:t>.17</w:t>
            </w:r>
          </w:p>
        </w:tc>
        <w:tc>
          <w:tcPr>
            <w:tcW w:w="506"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hint="eastAsia" w:ascii="Times New Roman" w:hAnsi="Times New Roman" w:eastAsia="宋体" w:cs="Times New Roman"/>
                <w:sz w:val="21"/>
                <w:szCs w:val="21"/>
                <w:lang w:eastAsia="zh-CN"/>
              </w:rPr>
            </w:pPr>
            <w:r>
              <w:rPr>
                <w:rFonts w:hint="eastAsia" w:ascii="Times New Roman" w:hAnsi="Times New Roman" w:cs="Times New Roman"/>
                <w:sz w:val="21"/>
                <w:szCs w:val="21"/>
              </w:rPr>
              <w:t>市生态环境局、</w:t>
            </w:r>
            <w:r>
              <w:rPr>
                <w:rFonts w:hint="eastAsia" w:ascii="Times New Roman" w:hAnsi="Times New Roman" w:cs="Times New Roman"/>
                <w:sz w:val="21"/>
                <w:szCs w:val="21"/>
                <w:lang w:eastAsia="zh-CN"/>
              </w:rPr>
              <w:t>市工业和信息化局</w:t>
            </w:r>
          </w:p>
        </w:tc>
        <w:tc>
          <w:tcPr>
            <w:tcW w:w="1001" w:type="pct"/>
            <w:tcBorders>
              <w:tl2br w:val="nil"/>
              <w:tr2bl w:val="nil"/>
            </w:tcBorders>
            <w:noWrap w:val="0"/>
            <w:vAlign w:val="center"/>
          </w:tcPr>
          <w:p>
            <w:pPr>
              <w:pStyle w:val="7"/>
              <w:widowControl w:val="0"/>
              <w:adjustRightInd w:val="0"/>
              <w:snapToGrid w:val="0"/>
              <w:spacing w:before="0" w:beforeAutospacing="0" w:after="0" w:afterAutospacing="0" w:line="300" w:lineRule="exact"/>
              <w:jc w:val="both"/>
              <w:rPr>
                <w:rFonts w:ascii="Times New Roman" w:hAnsi="Times New Roman" w:cs="Times New Roman"/>
                <w:sz w:val="21"/>
                <w:szCs w:val="21"/>
              </w:rPr>
            </w:pPr>
            <w:r>
              <w:rPr>
                <w:rFonts w:hint="eastAsia" w:ascii="Times New Roman" w:hAnsi="Times New Roman" w:cs="Times New Roman"/>
                <w:sz w:val="21"/>
                <w:szCs w:val="21"/>
              </w:rPr>
              <w:t>根据无废城市建设“三化要求”，并结合汕尾市实际情况确定。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8" w:hRule="atLeast"/>
          <w:jc w:val="center"/>
        </w:trPr>
        <w:tc>
          <w:tcPr>
            <w:tcW w:w="167" w:type="pct"/>
            <w:tcBorders>
              <w:tl2br w:val="nil"/>
              <w:tr2bl w:val="nil"/>
            </w:tcBorders>
            <w:noWrap w:val="0"/>
            <w:vAlign w:val="center"/>
          </w:tcPr>
          <w:p>
            <w:pPr>
              <w:pStyle w:val="7"/>
              <w:widowControl w:val="0"/>
              <w:numPr>
                <w:ilvl w:val="0"/>
                <w:numId w:val="1"/>
              </w:numPr>
              <w:tabs>
                <w:tab w:val="left" w:pos="210"/>
              </w:tabs>
              <w:adjustRightInd w:val="0"/>
              <w:snapToGrid w:val="0"/>
              <w:spacing w:before="0" w:beforeAutospacing="0" w:after="0" w:afterAutospacing="0" w:line="260" w:lineRule="exact"/>
              <w:rPr>
                <w:rFonts w:ascii="Times New Roman" w:hAnsi="Times New Roman" w:cs="Times New Roman"/>
                <w:sz w:val="21"/>
                <w:szCs w:val="21"/>
              </w:rPr>
            </w:pPr>
          </w:p>
        </w:tc>
        <w:tc>
          <w:tcPr>
            <w:tcW w:w="360" w:type="pct"/>
            <w:vMerge w:val="continue"/>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pacing w:val="-6"/>
                <w:sz w:val="21"/>
                <w:szCs w:val="21"/>
              </w:rPr>
            </w:pPr>
          </w:p>
        </w:tc>
        <w:tc>
          <w:tcPr>
            <w:tcW w:w="535" w:type="pct"/>
            <w:vMerge w:val="continue"/>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p>
        </w:tc>
        <w:tc>
          <w:tcPr>
            <w:tcW w:w="1114"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rFonts w:hint="eastAsia" w:ascii="Times New Roman" w:hAnsi="Times New Roman" w:cs="Times New Roman"/>
                <w:sz w:val="21"/>
                <w:szCs w:val="21"/>
              </w:rPr>
              <w:t>工业危险废物综合利用率★</w:t>
            </w:r>
          </w:p>
        </w:tc>
        <w:tc>
          <w:tcPr>
            <w:tcW w:w="405"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rFonts w:ascii="Times New Roman" w:hAnsi="Times New Roman" w:cs="Times New Roman"/>
                <w:sz w:val="21"/>
                <w:szCs w:val="21"/>
              </w:rPr>
              <w:t>%</w:t>
            </w:r>
          </w:p>
        </w:tc>
        <w:tc>
          <w:tcPr>
            <w:tcW w:w="456"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rFonts w:hint="eastAsia" w:ascii="Times New Roman" w:hAnsi="Times New Roman" w:cs="Times New Roman"/>
                <w:sz w:val="21"/>
                <w:szCs w:val="21"/>
              </w:rPr>
              <w:t>36.37</w:t>
            </w:r>
          </w:p>
        </w:tc>
        <w:tc>
          <w:tcPr>
            <w:tcW w:w="456"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rFonts w:ascii="Times New Roman" w:hAnsi="Times New Roman" w:cs="Times New Roman"/>
                <w:sz w:val="21"/>
                <w:szCs w:val="21"/>
              </w:rPr>
              <w:t>40</w:t>
            </w:r>
          </w:p>
        </w:tc>
        <w:tc>
          <w:tcPr>
            <w:tcW w:w="506"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rFonts w:hint="eastAsia" w:ascii="Times New Roman" w:hAnsi="Times New Roman" w:cs="Times New Roman"/>
                <w:sz w:val="21"/>
                <w:szCs w:val="21"/>
              </w:rPr>
              <w:t>市生态环境局</w:t>
            </w:r>
          </w:p>
        </w:tc>
        <w:tc>
          <w:tcPr>
            <w:tcW w:w="1001" w:type="pct"/>
            <w:tcBorders>
              <w:tl2br w:val="nil"/>
              <w:tr2bl w:val="nil"/>
            </w:tcBorders>
            <w:noWrap w:val="0"/>
            <w:vAlign w:val="center"/>
          </w:tcPr>
          <w:p>
            <w:pPr>
              <w:pStyle w:val="7"/>
              <w:widowControl w:val="0"/>
              <w:adjustRightInd w:val="0"/>
              <w:snapToGrid w:val="0"/>
              <w:spacing w:before="0" w:beforeAutospacing="0" w:after="0" w:afterAutospacing="0" w:line="300" w:lineRule="exact"/>
              <w:jc w:val="both"/>
              <w:rPr>
                <w:rFonts w:ascii="Times New Roman" w:hAnsi="Times New Roman" w:cs="Times New Roman"/>
                <w:sz w:val="21"/>
                <w:szCs w:val="21"/>
              </w:rPr>
            </w:pPr>
            <w:r>
              <w:rPr>
                <w:rFonts w:hint="eastAsia" w:ascii="Times New Roman" w:hAnsi="Times New Roman" w:cs="Times New Roman"/>
                <w:sz w:val="21"/>
                <w:szCs w:val="21"/>
              </w:rPr>
              <w:t>根据无废城市建设“三化要求”，并结合汕尾市实际情况确定。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67" w:type="pct"/>
            <w:tcBorders>
              <w:tl2br w:val="nil"/>
              <w:tr2bl w:val="nil"/>
            </w:tcBorders>
            <w:noWrap w:val="0"/>
            <w:vAlign w:val="center"/>
          </w:tcPr>
          <w:p>
            <w:pPr>
              <w:pStyle w:val="7"/>
              <w:widowControl w:val="0"/>
              <w:numPr>
                <w:ilvl w:val="0"/>
                <w:numId w:val="1"/>
              </w:numPr>
              <w:tabs>
                <w:tab w:val="left" w:pos="210"/>
              </w:tabs>
              <w:adjustRightInd w:val="0"/>
              <w:snapToGrid w:val="0"/>
              <w:spacing w:before="0" w:beforeAutospacing="0" w:after="0" w:afterAutospacing="0" w:line="260" w:lineRule="exact"/>
              <w:rPr>
                <w:rFonts w:ascii="Times New Roman" w:hAnsi="Times New Roman" w:cs="Times New Roman"/>
                <w:sz w:val="21"/>
                <w:szCs w:val="21"/>
              </w:rPr>
            </w:pPr>
          </w:p>
        </w:tc>
        <w:tc>
          <w:tcPr>
            <w:tcW w:w="360" w:type="pct"/>
            <w:vMerge w:val="continue"/>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p>
        </w:tc>
        <w:tc>
          <w:tcPr>
            <w:tcW w:w="535" w:type="pct"/>
            <w:vMerge w:val="restar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rFonts w:hint="eastAsia" w:ascii="Times New Roman" w:hAnsi="Times New Roman" w:cs="Times New Roman"/>
                <w:sz w:val="21"/>
                <w:szCs w:val="21"/>
              </w:rPr>
              <w:t>农业固体废物资源化利用</w:t>
            </w:r>
          </w:p>
        </w:tc>
        <w:tc>
          <w:tcPr>
            <w:tcW w:w="1114"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rFonts w:hint="eastAsia" w:ascii="Times New Roman" w:hAnsi="Times New Roman" w:cs="Times New Roman"/>
                <w:spacing w:val="-6"/>
                <w:sz w:val="21"/>
                <w:szCs w:val="21"/>
              </w:rPr>
              <w:t>秸秆综合利用率★</w:t>
            </w:r>
          </w:p>
        </w:tc>
        <w:tc>
          <w:tcPr>
            <w:tcW w:w="405" w:type="pct"/>
            <w:tcBorders>
              <w:tl2br w:val="nil"/>
              <w:tr2bl w:val="nil"/>
            </w:tcBorders>
            <w:noWrap w:val="0"/>
            <w:vAlign w:val="center"/>
          </w:tcPr>
          <w:p>
            <w:pPr>
              <w:adjustRightInd w:val="0"/>
              <w:snapToGrid w:val="0"/>
              <w:spacing w:line="300" w:lineRule="exact"/>
              <w:jc w:val="center"/>
              <w:rPr>
                <w:rFonts w:ascii="Times New Roman" w:hAnsi="Times New Roman" w:cs="Times New Roman"/>
                <w:szCs w:val="21"/>
              </w:rPr>
            </w:pPr>
            <w:r>
              <w:rPr>
                <w:rFonts w:ascii="Times New Roman" w:hAnsi="Times New Roman" w:cs="Times New Roman"/>
                <w:szCs w:val="21"/>
              </w:rPr>
              <w:t>%</w:t>
            </w:r>
          </w:p>
        </w:tc>
        <w:tc>
          <w:tcPr>
            <w:tcW w:w="456"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rFonts w:ascii="Times New Roman" w:hAnsi="Times New Roman" w:cs="Times New Roman"/>
                <w:sz w:val="21"/>
                <w:szCs w:val="21"/>
              </w:rPr>
              <w:t>93.55</w:t>
            </w:r>
          </w:p>
        </w:tc>
        <w:tc>
          <w:tcPr>
            <w:tcW w:w="456"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rFonts w:hint="eastAsia" w:ascii="Times New Roman" w:hAnsi="Times New Roman" w:cs="Times New Roman"/>
                <w:sz w:val="21"/>
                <w:szCs w:val="21"/>
              </w:rPr>
              <w:t>达到国家、省市目标</w:t>
            </w:r>
          </w:p>
        </w:tc>
        <w:tc>
          <w:tcPr>
            <w:tcW w:w="506"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rFonts w:hint="eastAsia" w:ascii="Times New Roman" w:hAnsi="Times New Roman" w:cs="Times New Roman"/>
                <w:sz w:val="21"/>
                <w:szCs w:val="21"/>
              </w:rPr>
              <w:t>市农业农村局</w:t>
            </w:r>
          </w:p>
        </w:tc>
        <w:tc>
          <w:tcPr>
            <w:tcW w:w="1001" w:type="pct"/>
            <w:tcBorders>
              <w:tl2br w:val="nil"/>
              <w:tr2bl w:val="nil"/>
            </w:tcBorders>
            <w:noWrap w:val="0"/>
            <w:vAlign w:val="top"/>
          </w:tcPr>
          <w:p>
            <w:pPr>
              <w:pStyle w:val="7"/>
              <w:widowControl w:val="0"/>
              <w:adjustRightInd w:val="0"/>
              <w:snapToGrid w:val="0"/>
              <w:spacing w:before="0" w:beforeAutospacing="0" w:after="0" w:afterAutospacing="0" w:line="300" w:lineRule="exact"/>
              <w:jc w:val="both"/>
              <w:rPr>
                <w:rFonts w:hint="eastAsia" w:ascii="Times New Roman" w:hAnsi="Times New Roman" w:eastAsia="宋体" w:cs="Times New Roman"/>
                <w:sz w:val="21"/>
                <w:szCs w:val="21"/>
                <w:lang w:eastAsia="zh-CN"/>
              </w:rPr>
            </w:pPr>
            <w:r>
              <w:rPr>
                <w:rFonts w:hint="eastAsia" w:ascii="Times New Roman" w:hAnsi="Times New Roman" w:cs="Times New Roman"/>
                <w:sz w:val="21"/>
                <w:szCs w:val="21"/>
              </w:rPr>
              <w:t>《广东省推进“无废城市”建设试点工作方案》《汕尾市农业农村现代化“十四五”规划》</w:t>
            </w:r>
            <w:r>
              <w:rPr>
                <w:rFonts w:hint="eastAsia" w:ascii="Times New Roman" w:hAnsi="Times New Roman" w:cs="Times New Roman"/>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67" w:type="pct"/>
            <w:tcBorders>
              <w:tl2br w:val="nil"/>
              <w:tr2bl w:val="nil"/>
            </w:tcBorders>
            <w:noWrap w:val="0"/>
            <w:vAlign w:val="center"/>
          </w:tcPr>
          <w:p>
            <w:pPr>
              <w:pStyle w:val="7"/>
              <w:widowControl w:val="0"/>
              <w:numPr>
                <w:ilvl w:val="0"/>
                <w:numId w:val="1"/>
              </w:numPr>
              <w:tabs>
                <w:tab w:val="left" w:pos="210"/>
              </w:tabs>
              <w:adjustRightInd w:val="0"/>
              <w:snapToGrid w:val="0"/>
              <w:spacing w:before="0" w:beforeAutospacing="0" w:after="0" w:afterAutospacing="0" w:line="260" w:lineRule="exact"/>
              <w:rPr>
                <w:rFonts w:ascii="Times New Roman" w:hAnsi="Times New Roman" w:cs="Times New Roman"/>
                <w:sz w:val="21"/>
                <w:szCs w:val="21"/>
              </w:rPr>
            </w:pPr>
          </w:p>
        </w:tc>
        <w:tc>
          <w:tcPr>
            <w:tcW w:w="360" w:type="pct"/>
            <w:vMerge w:val="continue"/>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p>
        </w:tc>
        <w:tc>
          <w:tcPr>
            <w:tcW w:w="535" w:type="pct"/>
            <w:vMerge w:val="continue"/>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p>
        </w:tc>
        <w:tc>
          <w:tcPr>
            <w:tcW w:w="1114"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rFonts w:hint="eastAsia" w:ascii="Times New Roman" w:hAnsi="Times New Roman" w:cs="Times New Roman"/>
                <w:sz w:val="21"/>
                <w:szCs w:val="21"/>
              </w:rPr>
              <w:t>畜禽粪污综合利用率★</w:t>
            </w:r>
          </w:p>
        </w:tc>
        <w:tc>
          <w:tcPr>
            <w:tcW w:w="405" w:type="pct"/>
            <w:tcBorders>
              <w:tl2br w:val="nil"/>
              <w:tr2bl w:val="nil"/>
            </w:tcBorders>
            <w:noWrap w:val="0"/>
            <w:vAlign w:val="center"/>
          </w:tcPr>
          <w:p>
            <w:pPr>
              <w:adjustRightInd w:val="0"/>
              <w:snapToGrid w:val="0"/>
              <w:spacing w:line="300" w:lineRule="exact"/>
              <w:jc w:val="center"/>
              <w:rPr>
                <w:rFonts w:ascii="Times New Roman" w:hAnsi="Times New Roman" w:cs="Times New Roman"/>
                <w:szCs w:val="21"/>
              </w:rPr>
            </w:pPr>
            <w:r>
              <w:rPr>
                <w:rFonts w:ascii="Times New Roman" w:hAnsi="Times New Roman" w:cs="Times New Roman"/>
                <w:szCs w:val="21"/>
              </w:rPr>
              <w:t>%</w:t>
            </w:r>
          </w:p>
        </w:tc>
        <w:tc>
          <w:tcPr>
            <w:tcW w:w="456"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rFonts w:ascii="Times New Roman" w:hAnsi="Times New Roman" w:cs="Times New Roman"/>
                <w:sz w:val="21"/>
                <w:szCs w:val="21"/>
              </w:rPr>
              <w:t>90.39</w:t>
            </w:r>
          </w:p>
        </w:tc>
        <w:tc>
          <w:tcPr>
            <w:tcW w:w="456"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rFonts w:hint="eastAsia" w:ascii="Times New Roman" w:hAnsi="Times New Roman" w:cs="Times New Roman"/>
                <w:sz w:val="21"/>
                <w:szCs w:val="21"/>
              </w:rPr>
              <w:t>达到国家、省市目标</w:t>
            </w:r>
          </w:p>
        </w:tc>
        <w:tc>
          <w:tcPr>
            <w:tcW w:w="506"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rFonts w:hint="eastAsia" w:ascii="Times New Roman" w:hAnsi="Times New Roman" w:cs="Times New Roman"/>
                <w:sz w:val="21"/>
                <w:szCs w:val="21"/>
              </w:rPr>
              <w:t>市农业农村局</w:t>
            </w:r>
          </w:p>
        </w:tc>
        <w:tc>
          <w:tcPr>
            <w:tcW w:w="1001" w:type="pct"/>
            <w:tcBorders>
              <w:tl2br w:val="nil"/>
              <w:tr2bl w:val="nil"/>
            </w:tcBorders>
            <w:noWrap w:val="0"/>
            <w:vAlign w:val="top"/>
          </w:tcPr>
          <w:p>
            <w:pPr>
              <w:pStyle w:val="7"/>
              <w:widowControl w:val="0"/>
              <w:adjustRightInd w:val="0"/>
              <w:snapToGrid w:val="0"/>
              <w:spacing w:before="0" w:beforeAutospacing="0" w:after="0" w:afterAutospacing="0" w:line="300" w:lineRule="exact"/>
              <w:jc w:val="both"/>
              <w:rPr>
                <w:rFonts w:ascii="Times New Roman" w:hAnsi="Times New Roman" w:cs="Times New Roman"/>
                <w:sz w:val="21"/>
                <w:szCs w:val="21"/>
              </w:rPr>
            </w:pPr>
            <w:r>
              <w:rPr>
                <w:rFonts w:hint="eastAsia" w:ascii="Times New Roman" w:hAnsi="Times New Roman" w:cs="Times New Roman"/>
                <w:sz w:val="21"/>
                <w:szCs w:val="21"/>
              </w:rPr>
              <w:t>《广东省推进“无废城市”建设试点工作方案》《汕尾市农业农村现代化“十四五”规划》《汕尾市农业农村污染治理攻坚战实施方案</w:t>
            </w:r>
            <w:r>
              <w:rPr>
                <w:rFonts w:hint="eastAsia" w:ascii="Times New Roman" w:hAnsi="Times New Roman" w:cs="Times New Roman"/>
                <w:sz w:val="21"/>
                <w:szCs w:val="21"/>
                <w:lang w:eastAsia="zh-CN"/>
              </w:rPr>
              <w:t>（</w:t>
            </w:r>
            <w:r>
              <w:rPr>
                <w:rFonts w:ascii="Times New Roman" w:hAnsi="Times New Roman" w:cs="Times New Roman"/>
                <w:sz w:val="21"/>
                <w:szCs w:val="21"/>
              </w:rPr>
              <w:t>2022-2025</w:t>
            </w:r>
            <w:r>
              <w:rPr>
                <w:rFonts w:hint="eastAsia" w:ascii="Times New Roman" w:hAnsi="Times New Roman" w:cs="Times New Roman"/>
                <w:sz w:val="21"/>
                <w:szCs w:val="21"/>
              </w:rPr>
              <w:t>年</w:t>
            </w:r>
            <w:r>
              <w:rPr>
                <w:rFonts w:hint="eastAsia" w:ascii="Times New Roman" w:hAnsi="Times New Roman" w:cs="Times New Roman"/>
                <w:sz w:val="21"/>
                <w:szCs w:val="21"/>
                <w:lang w:val="en-US" w:eastAsia="zh-CN"/>
              </w:rPr>
              <w:t>)</w:t>
            </w:r>
            <w:r>
              <w:rPr>
                <w:rFonts w:hint="eastAsia" w:ascii="Times New Roman" w:hAnsi="Times New Roman" w:cs="Times New Roman"/>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67" w:type="pct"/>
            <w:tcBorders>
              <w:tl2br w:val="nil"/>
              <w:tr2bl w:val="nil"/>
            </w:tcBorders>
            <w:noWrap w:val="0"/>
            <w:vAlign w:val="center"/>
          </w:tcPr>
          <w:p>
            <w:pPr>
              <w:pStyle w:val="7"/>
              <w:widowControl w:val="0"/>
              <w:numPr>
                <w:ilvl w:val="0"/>
                <w:numId w:val="1"/>
              </w:numPr>
              <w:tabs>
                <w:tab w:val="left" w:pos="210"/>
              </w:tabs>
              <w:adjustRightInd w:val="0"/>
              <w:snapToGrid w:val="0"/>
              <w:spacing w:before="0" w:beforeAutospacing="0" w:after="0" w:afterAutospacing="0" w:line="260" w:lineRule="exact"/>
              <w:rPr>
                <w:rFonts w:ascii="Times New Roman" w:hAnsi="Times New Roman" w:cs="Times New Roman"/>
                <w:sz w:val="21"/>
                <w:szCs w:val="21"/>
              </w:rPr>
            </w:pPr>
          </w:p>
        </w:tc>
        <w:tc>
          <w:tcPr>
            <w:tcW w:w="360" w:type="pct"/>
            <w:vMerge w:val="continue"/>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p>
        </w:tc>
        <w:tc>
          <w:tcPr>
            <w:tcW w:w="535" w:type="pct"/>
            <w:vMerge w:val="continue"/>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p>
        </w:tc>
        <w:tc>
          <w:tcPr>
            <w:tcW w:w="1114"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rFonts w:hint="eastAsia" w:ascii="Times New Roman" w:hAnsi="Times New Roman" w:cs="Times New Roman"/>
                <w:sz w:val="21"/>
                <w:szCs w:val="21"/>
              </w:rPr>
              <w:t>废旧农膜回收率★</w:t>
            </w:r>
          </w:p>
        </w:tc>
        <w:tc>
          <w:tcPr>
            <w:tcW w:w="405" w:type="pct"/>
            <w:tcBorders>
              <w:tl2br w:val="nil"/>
              <w:tr2bl w:val="nil"/>
            </w:tcBorders>
            <w:noWrap w:val="0"/>
            <w:vAlign w:val="center"/>
          </w:tcPr>
          <w:p>
            <w:pPr>
              <w:adjustRightInd w:val="0"/>
              <w:snapToGrid w:val="0"/>
              <w:spacing w:line="300" w:lineRule="exact"/>
              <w:jc w:val="center"/>
              <w:rPr>
                <w:rFonts w:ascii="Times New Roman" w:hAnsi="Times New Roman" w:cs="Times New Roman"/>
                <w:szCs w:val="21"/>
              </w:rPr>
            </w:pPr>
            <w:r>
              <w:rPr>
                <w:rFonts w:ascii="Times New Roman" w:hAnsi="Times New Roman" w:cs="Times New Roman"/>
                <w:szCs w:val="21"/>
              </w:rPr>
              <w:t>%</w:t>
            </w:r>
          </w:p>
        </w:tc>
        <w:tc>
          <w:tcPr>
            <w:tcW w:w="456"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rFonts w:ascii="Times New Roman" w:hAnsi="Times New Roman" w:cs="Times New Roman"/>
                <w:sz w:val="21"/>
                <w:szCs w:val="21"/>
              </w:rPr>
              <w:t>87.13</w:t>
            </w:r>
          </w:p>
        </w:tc>
        <w:tc>
          <w:tcPr>
            <w:tcW w:w="456"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rFonts w:hint="eastAsia" w:ascii="Times New Roman" w:hAnsi="Times New Roman" w:cs="Times New Roman"/>
                <w:sz w:val="21"/>
                <w:szCs w:val="21"/>
              </w:rPr>
              <w:t>达到国家、省市目标</w:t>
            </w:r>
          </w:p>
        </w:tc>
        <w:tc>
          <w:tcPr>
            <w:tcW w:w="506"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rFonts w:hint="eastAsia" w:ascii="Times New Roman" w:hAnsi="Times New Roman" w:cs="Times New Roman"/>
                <w:sz w:val="21"/>
                <w:szCs w:val="21"/>
              </w:rPr>
              <w:t>市农业农村局</w:t>
            </w:r>
          </w:p>
        </w:tc>
        <w:tc>
          <w:tcPr>
            <w:tcW w:w="1001" w:type="pct"/>
            <w:tcBorders>
              <w:tl2br w:val="nil"/>
              <w:tr2bl w:val="nil"/>
            </w:tcBorders>
            <w:noWrap w:val="0"/>
            <w:vAlign w:val="top"/>
          </w:tcPr>
          <w:p>
            <w:pPr>
              <w:pStyle w:val="7"/>
              <w:widowControl w:val="0"/>
              <w:adjustRightInd w:val="0"/>
              <w:snapToGrid w:val="0"/>
              <w:spacing w:before="0" w:beforeAutospacing="0" w:after="0" w:afterAutospacing="0" w:line="300" w:lineRule="exact"/>
              <w:jc w:val="both"/>
              <w:rPr>
                <w:rFonts w:hint="eastAsia" w:ascii="Times New Roman" w:hAnsi="Times New Roman" w:eastAsia="宋体" w:cs="Times New Roman"/>
                <w:sz w:val="21"/>
                <w:szCs w:val="21"/>
                <w:lang w:eastAsia="zh-CN"/>
              </w:rPr>
            </w:pPr>
            <w:r>
              <w:rPr>
                <w:rFonts w:hint="eastAsia" w:ascii="Times New Roman" w:hAnsi="Times New Roman" w:cs="Times New Roman"/>
                <w:sz w:val="21"/>
                <w:szCs w:val="21"/>
              </w:rPr>
              <w:t>《广东省推进“无废城市”建设试点工作方案》《汕尾市农业农村污染治理攻坚战实施方案（</w:t>
            </w:r>
            <w:r>
              <w:rPr>
                <w:rFonts w:ascii="Times New Roman" w:hAnsi="Times New Roman" w:cs="Times New Roman"/>
                <w:sz w:val="21"/>
                <w:szCs w:val="21"/>
              </w:rPr>
              <w:t>2022-2025年）》</w:t>
            </w:r>
            <w:r>
              <w:rPr>
                <w:rFonts w:hint="eastAsia" w:ascii="Times New Roman" w:hAnsi="Times New Roman" w:cs="Times New Roman"/>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67" w:type="pct"/>
            <w:tcBorders>
              <w:tl2br w:val="nil"/>
              <w:tr2bl w:val="nil"/>
            </w:tcBorders>
            <w:noWrap w:val="0"/>
            <w:vAlign w:val="center"/>
          </w:tcPr>
          <w:p>
            <w:pPr>
              <w:pStyle w:val="7"/>
              <w:widowControl w:val="0"/>
              <w:numPr>
                <w:ilvl w:val="0"/>
                <w:numId w:val="1"/>
              </w:numPr>
              <w:tabs>
                <w:tab w:val="left" w:pos="210"/>
              </w:tabs>
              <w:adjustRightInd w:val="0"/>
              <w:snapToGrid w:val="0"/>
              <w:spacing w:before="0" w:beforeAutospacing="0" w:after="0" w:afterAutospacing="0" w:line="260" w:lineRule="exact"/>
              <w:rPr>
                <w:rFonts w:ascii="Times New Roman" w:hAnsi="Times New Roman" w:cs="Times New Roman"/>
                <w:sz w:val="21"/>
                <w:szCs w:val="21"/>
              </w:rPr>
            </w:pPr>
          </w:p>
        </w:tc>
        <w:tc>
          <w:tcPr>
            <w:tcW w:w="360" w:type="pct"/>
            <w:vMerge w:val="continue"/>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p>
        </w:tc>
        <w:tc>
          <w:tcPr>
            <w:tcW w:w="535" w:type="pct"/>
            <w:vMerge w:val="continue"/>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p>
        </w:tc>
        <w:tc>
          <w:tcPr>
            <w:tcW w:w="1114"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rFonts w:hint="eastAsia" w:ascii="Times New Roman" w:hAnsi="Times New Roman" w:cs="Times New Roman"/>
                <w:sz w:val="21"/>
                <w:szCs w:val="21"/>
              </w:rPr>
              <w:t>农药包装废弃物回收率</w:t>
            </w:r>
          </w:p>
        </w:tc>
        <w:tc>
          <w:tcPr>
            <w:tcW w:w="405" w:type="pct"/>
            <w:tcBorders>
              <w:tl2br w:val="nil"/>
              <w:tr2bl w:val="nil"/>
            </w:tcBorders>
            <w:noWrap w:val="0"/>
            <w:vAlign w:val="center"/>
          </w:tcPr>
          <w:p>
            <w:pPr>
              <w:adjustRightInd w:val="0"/>
              <w:snapToGrid w:val="0"/>
              <w:spacing w:line="300" w:lineRule="exact"/>
              <w:jc w:val="center"/>
              <w:rPr>
                <w:rFonts w:ascii="Times New Roman" w:hAnsi="Times New Roman" w:cs="Times New Roman"/>
                <w:szCs w:val="21"/>
              </w:rPr>
            </w:pPr>
            <w:r>
              <w:rPr>
                <w:rFonts w:ascii="Times New Roman" w:hAnsi="Times New Roman" w:cs="Times New Roman"/>
                <w:szCs w:val="21"/>
              </w:rPr>
              <w:t>%</w:t>
            </w:r>
          </w:p>
        </w:tc>
        <w:tc>
          <w:tcPr>
            <w:tcW w:w="456"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rFonts w:ascii="Times New Roman" w:hAnsi="Times New Roman" w:cs="Times New Roman"/>
                <w:sz w:val="21"/>
                <w:szCs w:val="21"/>
              </w:rPr>
              <w:t>66.86</w:t>
            </w:r>
          </w:p>
        </w:tc>
        <w:tc>
          <w:tcPr>
            <w:tcW w:w="456"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rFonts w:ascii="Times New Roman" w:hAnsi="Times New Roman" w:cs="Times New Roman"/>
                <w:sz w:val="21"/>
                <w:szCs w:val="21"/>
              </w:rPr>
              <w:t>&gt;80</w:t>
            </w:r>
          </w:p>
        </w:tc>
        <w:tc>
          <w:tcPr>
            <w:tcW w:w="506"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rFonts w:hint="eastAsia" w:ascii="Times New Roman" w:hAnsi="Times New Roman" w:cs="Times New Roman"/>
                <w:sz w:val="21"/>
                <w:szCs w:val="21"/>
              </w:rPr>
              <w:t>市农业农村局</w:t>
            </w:r>
          </w:p>
        </w:tc>
        <w:tc>
          <w:tcPr>
            <w:tcW w:w="1001" w:type="pct"/>
            <w:tcBorders>
              <w:tl2br w:val="nil"/>
              <w:tr2bl w:val="nil"/>
            </w:tcBorders>
            <w:noWrap w:val="0"/>
            <w:vAlign w:val="top"/>
          </w:tcPr>
          <w:p>
            <w:pPr>
              <w:pStyle w:val="7"/>
              <w:widowControl w:val="0"/>
              <w:adjustRightInd w:val="0"/>
              <w:snapToGrid w:val="0"/>
              <w:spacing w:before="0" w:beforeAutospacing="0" w:after="0" w:afterAutospacing="0" w:line="300" w:lineRule="exact"/>
              <w:jc w:val="both"/>
              <w:rPr>
                <w:rFonts w:hint="eastAsia" w:ascii="Times New Roman" w:hAnsi="Times New Roman" w:eastAsia="宋体" w:cs="Times New Roman"/>
                <w:sz w:val="21"/>
                <w:szCs w:val="21"/>
                <w:lang w:eastAsia="zh-CN"/>
              </w:rPr>
            </w:pPr>
            <w:r>
              <w:rPr>
                <w:rFonts w:hint="eastAsia" w:ascii="Times New Roman" w:hAnsi="Times New Roman" w:cs="Times New Roman"/>
                <w:sz w:val="21"/>
                <w:szCs w:val="21"/>
              </w:rPr>
              <w:t>《汕尾市农药包装废弃物回收处理实施方案》《广东省农药包装废弃物回收处理实施方案》</w:t>
            </w:r>
            <w:r>
              <w:rPr>
                <w:rFonts w:hint="eastAsia" w:ascii="Times New Roman" w:hAnsi="Times New Roman" w:cs="Times New Roman"/>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67" w:type="pct"/>
            <w:tcBorders>
              <w:tl2br w:val="nil"/>
              <w:tr2bl w:val="nil"/>
            </w:tcBorders>
            <w:noWrap w:val="0"/>
            <w:vAlign w:val="center"/>
          </w:tcPr>
          <w:p>
            <w:pPr>
              <w:pStyle w:val="7"/>
              <w:widowControl w:val="0"/>
              <w:numPr>
                <w:ilvl w:val="0"/>
                <w:numId w:val="1"/>
              </w:numPr>
              <w:tabs>
                <w:tab w:val="left" w:pos="210"/>
              </w:tabs>
              <w:adjustRightInd w:val="0"/>
              <w:snapToGrid w:val="0"/>
              <w:spacing w:before="0" w:beforeAutospacing="0" w:after="0" w:afterAutospacing="0" w:line="260" w:lineRule="exact"/>
              <w:rPr>
                <w:rFonts w:ascii="Times New Roman" w:hAnsi="Times New Roman" w:cs="Times New Roman"/>
                <w:sz w:val="21"/>
                <w:szCs w:val="21"/>
              </w:rPr>
            </w:pPr>
          </w:p>
        </w:tc>
        <w:tc>
          <w:tcPr>
            <w:tcW w:w="360" w:type="pct"/>
            <w:vMerge w:val="continue"/>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p>
        </w:tc>
        <w:tc>
          <w:tcPr>
            <w:tcW w:w="535"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pacing w:val="-12"/>
                <w:sz w:val="21"/>
                <w:szCs w:val="21"/>
              </w:rPr>
            </w:pPr>
            <w:r>
              <w:rPr>
                <w:rFonts w:hint="eastAsia" w:ascii="Times New Roman" w:hAnsi="Times New Roman" w:cs="Times New Roman"/>
                <w:sz w:val="21"/>
                <w:szCs w:val="21"/>
              </w:rPr>
              <w:t>建筑垃圾资源化利用</w:t>
            </w:r>
          </w:p>
        </w:tc>
        <w:tc>
          <w:tcPr>
            <w:tcW w:w="1114"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rFonts w:hint="eastAsia" w:ascii="Times New Roman" w:hAnsi="Times New Roman" w:cs="Times New Roman"/>
                <w:sz w:val="21"/>
                <w:szCs w:val="21"/>
              </w:rPr>
              <w:t>建筑垃圾综合利用率</w:t>
            </w:r>
            <w:r>
              <w:rPr>
                <w:rFonts w:hint="eastAsia" w:ascii="Segoe UI Symbol" w:hAnsi="Segoe UI Symbol" w:cs="Segoe UI Symbol"/>
                <w:sz w:val="21"/>
                <w:szCs w:val="21"/>
              </w:rPr>
              <w:t>★</w:t>
            </w:r>
          </w:p>
        </w:tc>
        <w:tc>
          <w:tcPr>
            <w:tcW w:w="405"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rFonts w:ascii="Times New Roman" w:hAnsi="Times New Roman" w:cs="Times New Roman"/>
                <w:sz w:val="21"/>
                <w:szCs w:val="21"/>
              </w:rPr>
              <w:t>%</w:t>
            </w:r>
          </w:p>
        </w:tc>
        <w:tc>
          <w:tcPr>
            <w:tcW w:w="456"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rFonts w:ascii="Times New Roman" w:hAnsi="Times New Roman" w:cs="Times New Roman"/>
                <w:sz w:val="21"/>
                <w:szCs w:val="21"/>
              </w:rPr>
              <w:t>58.69</w:t>
            </w:r>
          </w:p>
        </w:tc>
        <w:tc>
          <w:tcPr>
            <w:tcW w:w="456"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rFonts w:ascii="Times New Roman" w:hAnsi="Times New Roman" w:cs="Times New Roman"/>
                <w:sz w:val="21"/>
                <w:szCs w:val="21"/>
              </w:rPr>
              <w:t>60</w:t>
            </w:r>
          </w:p>
        </w:tc>
        <w:tc>
          <w:tcPr>
            <w:tcW w:w="506"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rFonts w:ascii="Times New Roman" w:hAnsi="Times New Roman" w:cs="Times New Roman"/>
                <w:sz w:val="21"/>
                <w:szCs w:val="21"/>
              </w:rPr>
              <w:t>市住房城乡建设局</w:t>
            </w:r>
          </w:p>
        </w:tc>
        <w:tc>
          <w:tcPr>
            <w:tcW w:w="1001" w:type="pct"/>
            <w:tcBorders>
              <w:tl2br w:val="nil"/>
              <w:tr2bl w:val="nil"/>
            </w:tcBorders>
            <w:noWrap w:val="0"/>
            <w:vAlign w:val="center"/>
          </w:tcPr>
          <w:p>
            <w:pPr>
              <w:pStyle w:val="7"/>
              <w:widowControl w:val="0"/>
              <w:adjustRightInd w:val="0"/>
              <w:snapToGrid w:val="0"/>
              <w:spacing w:before="0" w:beforeAutospacing="0" w:after="0" w:afterAutospacing="0" w:line="300" w:lineRule="exact"/>
              <w:jc w:val="both"/>
              <w:rPr>
                <w:rFonts w:hint="eastAsia" w:ascii="Times New Roman" w:hAnsi="Times New Roman" w:eastAsia="宋体" w:cs="Times New Roman"/>
                <w:sz w:val="21"/>
                <w:szCs w:val="21"/>
                <w:lang w:eastAsia="zh-CN"/>
              </w:rPr>
            </w:pPr>
            <w:r>
              <w:rPr>
                <w:rFonts w:ascii="Times New Roman" w:hAnsi="Times New Roman" w:cs="Times New Roman"/>
                <w:sz w:val="21"/>
                <w:szCs w:val="21"/>
              </w:rPr>
              <w:t>在现状基础上有所提升</w:t>
            </w:r>
            <w:r>
              <w:rPr>
                <w:rFonts w:hint="eastAsia" w:ascii="Times New Roman" w:hAnsi="Times New Roman" w:cs="Times New Roman"/>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67" w:type="pct"/>
            <w:tcBorders>
              <w:tl2br w:val="nil"/>
              <w:tr2bl w:val="nil"/>
            </w:tcBorders>
            <w:noWrap w:val="0"/>
            <w:vAlign w:val="center"/>
          </w:tcPr>
          <w:p>
            <w:pPr>
              <w:pStyle w:val="7"/>
              <w:widowControl w:val="0"/>
              <w:numPr>
                <w:ilvl w:val="0"/>
                <w:numId w:val="1"/>
              </w:numPr>
              <w:tabs>
                <w:tab w:val="left" w:pos="210"/>
              </w:tabs>
              <w:adjustRightInd w:val="0"/>
              <w:snapToGrid w:val="0"/>
              <w:spacing w:before="0" w:beforeAutospacing="0" w:after="0" w:afterAutospacing="0" w:line="260" w:lineRule="exact"/>
              <w:rPr>
                <w:rFonts w:ascii="Times New Roman" w:hAnsi="Times New Roman" w:cs="Times New Roman"/>
                <w:sz w:val="21"/>
                <w:szCs w:val="21"/>
              </w:rPr>
            </w:pPr>
          </w:p>
        </w:tc>
        <w:tc>
          <w:tcPr>
            <w:tcW w:w="360" w:type="pct"/>
            <w:vMerge w:val="continue"/>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p>
        </w:tc>
        <w:tc>
          <w:tcPr>
            <w:tcW w:w="535" w:type="pct"/>
            <w:vMerge w:val="restar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rFonts w:hint="eastAsia" w:ascii="Times New Roman" w:hAnsi="Times New Roman" w:cs="Times New Roman"/>
                <w:spacing w:val="-6"/>
                <w:sz w:val="21"/>
                <w:szCs w:val="21"/>
              </w:rPr>
              <w:t>生活领域固体废物资源化利用</w:t>
            </w:r>
          </w:p>
        </w:tc>
        <w:tc>
          <w:tcPr>
            <w:tcW w:w="1114"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rFonts w:hint="eastAsia" w:ascii="Times New Roman" w:hAnsi="Times New Roman" w:cs="Times New Roman"/>
                <w:sz w:val="21"/>
                <w:szCs w:val="21"/>
              </w:rPr>
              <w:t>生活垃圾回收利用率</w:t>
            </w:r>
            <w:r>
              <w:rPr>
                <w:rFonts w:hint="eastAsia" w:ascii="Segoe UI Symbol" w:hAnsi="Segoe UI Symbol" w:cs="Segoe UI Symbol"/>
                <w:sz w:val="21"/>
                <w:szCs w:val="21"/>
              </w:rPr>
              <w:t>★</w:t>
            </w:r>
          </w:p>
        </w:tc>
        <w:tc>
          <w:tcPr>
            <w:tcW w:w="405"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rFonts w:ascii="Times New Roman" w:hAnsi="Times New Roman" w:cs="Times New Roman"/>
                <w:sz w:val="21"/>
                <w:szCs w:val="21"/>
              </w:rPr>
              <w:t>%</w:t>
            </w:r>
          </w:p>
        </w:tc>
        <w:tc>
          <w:tcPr>
            <w:tcW w:w="456"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rFonts w:ascii="Times New Roman" w:hAnsi="Times New Roman" w:cs="Times New Roman"/>
                <w:sz w:val="21"/>
                <w:szCs w:val="21"/>
              </w:rPr>
              <w:t>10.04</w:t>
            </w:r>
          </w:p>
        </w:tc>
        <w:tc>
          <w:tcPr>
            <w:tcW w:w="456"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rFonts w:ascii="Times New Roman" w:hAnsi="Times New Roman" w:cs="Times New Roman"/>
                <w:sz w:val="21"/>
                <w:szCs w:val="21"/>
              </w:rPr>
              <w:t>35</w:t>
            </w:r>
          </w:p>
        </w:tc>
        <w:tc>
          <w:tcPr>
            <w:tcW w:w="506"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rFonts w:ascii="Times New Roman" w:hAnsi="Times New Roman" w:cs="Times New Roman"/>
                <w:sz w:val="21"/>
                <w:szCs w:val="21"/>
              </w:rPr>
              <w:t>市住房城乡建设局、市商务局</w:t>
            </w:r>
          </w:p>
        </w:tc>
        <w:tc>
          <w:tcPr>
            <w:tcW w:w="1001" w:type="pct"/>
            <w:tcBorders>
              <w:tl2br w:val="nil"/>
              <w:tr2bl w:val="nil"/>
            </w:tcBorders>
            <w:noWrap w:val="0"/>
            <w:vAlign w:val="center"/>
          </w:tcPr>
          <w:p>
            <w:pPr>
              <w:pStyle w:val="7"/>
              <w:widowControl w:val="0"/>
              <w:adjustRightInd w:val="0"/>
              <w:snapToGrid w:val="0"/>
              <w:spacing w:before="0" w:beforeAutospacing="0" w:after="0" w:afterAutospacing="0" w:line="300" w:lineRule="exact"/>
              <w:jc w:val="both"/>
              <w:rPr>
                <w:rFonts w:hint="eastAsia" w:ascii="Times New Roman" w:hAnsi="Times New Roman" w:eastAsia="宋体" w:cs="Times New Roman"/>
                <w:sz w:val="21"/>
                <w:szCs w:val="21"/>
                <w:lang w:eastAsia="zh-CN"/>
              </w:rPr>
            </w:pPr>
            <w:r>
              <w:rPr>
                <w:rFonts w:ascii="Times New Roman" w:hAnsi="Times New Roman" w:cs="Times New Roman"/>
                <w:sz w:val="21"/>
                <w:szCs w:val="21"/>
              </w:rPr>
              <w:t>《关于进一步推进生活垃圾分类工作的若干意见》要求“全国城市生活垃圾回收利用率达到35％以上”</w:t>
            </w:r>
            <w:r>
              <w:rPr>
                <w:rFonts w:hint="eastAsia" w:ascii="Times New Roman" w:hAnsi="Times New Roman" w:cs="Times New Roman"/>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67" w:type="pct"/>
            <w:tcBorders>
              <w:tl2br w:val="nil"/>
              <w:tr2bl w:val="nil"/>
            </w:tcBorders>
            <w:noWrap w:val="0"/>
            <w:vAlign w:val="center"/>
          </w:tcPr>
          <w:p>
            <w:pPr>
              <w:pStyle w:val="7"/>
              <w:widowControl w:val="0"/>
              <w:numPr>
                <w:ilvl w:val="0"/>
                <w:numId w:val="1"/>
              </w:numPr>
              <w:tabs>
                <w:tab w:val="left" w:pos="210"/>
              </w:tabs>
              <w:adjustRightInd w:val="0"/>
              <w:snapToGrid w:val="0"/>
              <w:spacing w:before="0" w:beforeAutospacing="0" w:after="0" w:afterAutospacing="0" w:line="260" w:lineRule="exact"/>
              <w:rPr>
                <w:rFonts w:ascii="Times New Roman" w:hAnsi="Times New Roman" w:cs="Times New Roman"/>
                <w:sz w:val="21"/>
                <w:szCs w:val="21"/>
              </w:rPr>
            </w:pPr>
          </w:p>
        </w:tc>
        <w:tc>
          <w:tcPr>
            <w:tcW w:w="360" w:type="pct"/>
            <w:vMerge w:val="continue"/>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p>
        </w:tc>
        <w:tc>
          <w:tcPr>
            <w:tcW w:w="535" w:type="pct"/>
            <w:vMerge w:val="continue"/>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p>
        </w:tc>
        <w:tc>
          <w:tcPr>
            <w:tcW w:w="1114"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rFonts w:hint="eastAsia" w:ascii="Times New Roman" w:hAnsi="Times New Roman" w:cs="Times New Roman"/>
                <w:sz w:val="21"/>
                <w:szCs w:val="21"/>
              </w:rPr>
              <w:t>再生资源回收量增长率</w:t>
            </w:r>
          </w:p>
        </w:tc>
        <w:tc>
          <w:tcPr>
            <w:tcW w:w="405"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rFonts w:ascii="Times New Roman" w:hAnsi="Times New Roman" w:cs="Times New Roman"/>
                <w:sz w:val="21"/>
                <w:szCs w:val="21"/>
              </w:rPr>
              <w:t>%</w:t>
            </w:r>
          </w:p>
        </w:tc>
        <w:tc>
          <w:tcPr>
            <w:tcW w:w="456"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rFonts w:ascii="Times New Roman" w:hAnsi="Times New Roman" w:cs="Times New Roman"/>
                <w:sz w:val="21"/>
                <w:szCs w:val="21"/>
              </w:rPr>
              <w:t>/</w:t>
            </w:r>
          </w:p>
        </w:tc>
        <w:tc>
          <w:tcPr>
            <w:tcW w:w="456"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rFonts w:ascii="Times New Roman" w:hAnsi="Times New Roman" w:cs="Times New Roman"/>
                <w:sz w:val="21"/>
                <w:szCs w:val="21"/>
              </w:rPr>
              <w:t>10</w:t>
            </w:r>
          </w:p>
        </w:tc>
        <w:tc>
          <w:tcPr>
            <w:tcW w:w="506"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rFonts w:ascii="Times New Roman" w:hAnsi="Times New Roman" w:cs="Times New Roman"/>
                <w:sz w:val="21"/>
                <w:szCs w:val="21"/>
              </w:rPr>
              <w:t>市商务局</w:t>
            </w:r>
          </w:p>
        </w:tc>
        <w:tc>
          <w:tcPr>
            <w:tcW w:w="1001" w:type="pct"/>
            <w:tcBorders>
              <w:tl2br w:val="nil"/>
              <w:tr2bl w:val="nil"/>
            </w:tcBorders>
            <w:noWrap w:val="0"/>
            <w:vAlign w:val="center"/>
          </w:tcPr>
          <w:p>
            <w:pPr>
              <w:pStyle w:val="7"/>
              <w:widowControl w:val="0"/>
              <w:adjustRightInd w:val="0"/>
              <w:snapToGrid w:val="0"/>
              <w:spacing w:before="0" w:beforeAutospacing="0" w:after="0" w:afterAutospacing="0" w:line="300" w:lineRule="exact"/>
              <w:jc w:val="both"/>
              <w:rPr>
                <w:rFonts w:hint="eastAsia" w:ascii="Times New Roman" w:hAnsi="Times New Roman" w:eastAsia="宋体" w:cs="Times New Roman"/>
                <w:sz w:val="21"/>
                <w:szCs w:val="21"/>
                <w:lang w:eastAsia="zh-CN"/>
              </w:rPr>
            </w:pPr>
            <w:r>
              <w:rPr>
                <w:rFonts w:ascii="Times New Roman" w:hAnsi="Times New Roman" w:cs="Times New Roman"/>
                <w:sz w:val="21"/>
                <w:szCs w:val="21"/>
              </w:rPr>
              <w:t>沟通协商确定</w:t>
            </w:r>
            <w:r>
              <w:rPr>
                <w:rFonts w:hint="eastAsia" w:ascii="Times New Roman" w:hAnsi="Times New Roman" w:cs="Times New Roman"/>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67" w:type="pct"/>
            <w:tcBorders>
              <w:tl2br w:val="nil"/>
              <w:tr2bl w:val="nil"/>
            </w:tcBorders>
            <w:noWrap w:val="0"/>
            <w:vAlign w:val="center"/>
          </w:tcPr>
          <w:p>
            <w:pPr>
              <w:pStyle w:val="7"/>
              <w:widowControl w:val="0"/>
              <w:numPr>
                <w:ilvl w:val="0"/>
                <w:numId w:val="1"/>
              </w:numPr>
              <w:tabs>
                <w:tab w:val="left" w:pos="210"/>
              </w:tabs>
              <w:adjustRightInd w:val="0"/>
              <w:snapToGrid w:val="0"/>
              <w:spacing w:before="0" w:beforeAutospacing="0" w:after="0" w:afterAutospacing="0" w:line="260" w:lineRule="exact"/>
              <w:rPr>
                <w:rFonts w:ascii="Times New Roman" w:hAnsi="Times New Roman" w:cs="Times New Roman"/>
                <w:sz w:val="21"/>
                <w:szCs w:val="21"/>
              </w:rPr>
            </w:pPr>
          </w:p>
        </w:tc>
        <w:tc>
          <w:tcPr>
            <w:tcW w:w="360" w:type="pct"/>
            <w:vMerge w:val="continue"/>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p>
        </w:tc>
        <w:tc>
          <w:tcPr>
            <w:tcW w:w="535" w:type="pct"/>
            <w:vMerge w:val="continue"/>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p>
        </w:tc>
        <w:tc>
          <w:tcPr>
            <w:tcW w:w="1114"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rFonts w:hint="eastAsia" w:ascii="Times New Roman" w:hAnsi="Times New Roman" w:cs="Times New Roman"/>
                <w:sz w:val="21"/>
                <w:szCs w:val="21"/>
              </w:rPr>
              <w:t>医疗卫生机构可回收物回收率</w:t>
            </w:r>
            <w:r>
              <w:rPr>
                <w:rFonts w:hint="eastAsia" w:ascii="Segoe UI Symbol" w:hAnsi="Segoe UI Symbol" w:cs="Segoe UI Symbol"/>
                <w:sz w:val="21"/>
                <w:szCs w:val="21"/>
              </w:rPr>
              <w:t>★</w:t>
            </w:r>
          </w:p>
        </w:tc>
        <w:tc>
          <w:tcPr>
            <w:tcW w:w="405"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rFonts w:ascii="Times New Roman" w:hAnsi="Times New Roman" w:cs="Times New Roman"/>
                <w:sz w:val="21"/>
                <w:szCs w:val="21"/>
              </w:rPr>
              <w:t>%</w:t>
            </w:r>
          </w:p>
        </w:tc>
        <w:tc>
          <w:tcPr>
            <w:tcW w:w="456"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rFonts w:ascii="Times New Roman" w:hAnsi="Times New Roman" w:cs="Times New Roman"/>
                <w:sz w:val="21"/>
                <w:szCs w:val="21"/>
              </w:rPr>
              <w:t>100</w:t>
            </w:r>
          </w:p>
        </w:tc>
        <w:tc>
          <w:tcPr>
            <w:tcW w:w="456"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rFonts w:ascii="Times New Roman" w:hAnsi="Times New Roman" w:cs="Times New Roman"/>
                <w:sz w:val="21"/>
                <w:szCs w:val="21"/>
              </w:rPr>
              <w:t>100</w:t>
            </w:r>
          </w:p>
        </w:tc>
        <w:tc>
          <w:tcPr>
            <w:tcW w:w="506"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hint="eastAsia" w:ascii="Times New Roman" w:hAnsi="Times New Roman" w:eastAsia="宋体" w:cs="Times New Roman"/>
                <w:sz w:val="21"/>
                <w:szCs w:val="21"/>
                <w:lang w:eastAsia="zh-CN"/>
              </w:rPr>
            </w:pPr>
            <w:r>
              <w:rPr>
                <w:rFonts w:hint="eastAsia" w:ascii="Times New Roman" w:hAnsi="Times New Roman" w:cs="Times New Roman"/>
                <w:sz w:val="21"/>
                <w:szCs w:val="21"/>
                <w:lang w:eastAsia="zh-CN"/>
              </w:rPr>
              <w:t>市卫生健康局</w:t>
            </w:r>
          </w:p>
        </w:tc>
        <w:tc>
          <w:tcPr>
            <w:tcW w:w="1001" w:type="pct"/>
            <w:tcBorders>
              <w:tl2br w:val="nil"/>
              <w:tr2bl w:val="nil"/>
            </w:tcBorders>
            <w:noWrap w:val="0"/>
            <w:vAlign w:val="center"/>
          </w:tcPr>
          <w:p>
            <w:pPr>
              <w:pStyle w:val="7"/>
              <w:widowControl w:val="0"/>
              <w:adjustRightInd w:val="0"/>
              <w:snapToGrid w:val="0"/>
              <w:spacing w:before="0" w:beforeAutospacing="0" w:after="0" w:afterAutospacing="0" w:line="300" w:lineRule="exact"/>
              <w:jc w:val="both"/>
              <w:rPr>
                <w:rFonts w:hint="eastAsia" w:ascii="Times New Roman" w:hAnsi="Times New Roman" w:eastAsia="宋体" w:cs="Times New Roman"/>
                <w:sz w:val="21"/>
                <w:szCs w:val="21"/>
                <w:lang w:eastAsia="zh-CN"/>
              </w:rPr>
            </w:pPr>
            <w:r>
              <w:rPr>
                <w:rFonts w:ascii="Times New Roman" w:hAnsi="Times New Roman" w:cs="Times New Roman"/>
                <w:sz w:val="21"/>
                <w:szCs w:val="21"/>
              </w:rPr>
              <w:t>维持现状不下降</w:t>
            </w:r>
            <w:r>
              <w:rPr>
                <w:rFonts w:hint="eastAsia" w:ascii="Times New Roman" w:hAnsi="Times New Roman" w:cs="Times New Roman"/>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67" w:type="pct"/>
            <w:tcBorders>
              <w:tl2br w:val="nil"/>
              <w:tr2bl w:val="nil"/>
            </w:tcBorders>
            <w:noWrap w:val="0"/>
            <w:vAlign w:val="center"/>
          </w:tcPr>
          <w:p>
            <w:pPr>
              <w:pStyle w:val="7"/>
              <w:widowControl w:val="0"/>
              <w:numPr>
                <w:ilvl w:val="0"/>
                <w:numId w:val="1"/>
              </w:numPr>
              <w:tabs>
                <w:tab w:val="left" w:pos="210"/>
              </w:tabs>
              <w:adjustRightInd w:val="0"/>
              <w:snapToGrid w:val="0"/>
              <w:spacing w:before="0" w:beforeAutospacing="0" w:after="0" w:afterAutospacing="0" w:line="260" w:lineRule="exact"/>
              <w:rPr>
                <w:rFonts w:ascii="Times New Roman" w:hAnsi="Times New Roman" w:cs="Times New Roman"/>
                <w:sz w:val="21"/>
                <w:szCs w:val="21"/>
              </w:rPr>
            </w:pPr>
          </w:p>
        </w:tc>
        <w:tc>
          <w:tcPr>
            <w:tcW w:w="360" w:type="pct"/>
            <w:vMerge w:val="restar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pacing w:val="-6"/>
                <w:sz w:val="21"/>
                <w:szCs w:val="21"/>
              </w:rPr>
            </w:pPr>
            <w:r>
              <w:rPr>
                <w:rFonts w:hint="eastAsia" w:ascii="Times New Roman" w:hAnsi="Times New Roman" w:cs="Times New Roman"/>
                <w:spacing w:val="-6"/>
                <w:sz w:val="21"/>
                <w:szCs w:val="21"/>
              </w:rPr>
              <w:t>固体废物最终处置</w:t>
            </w:r>
          </w:p>
        </w:tc>
        <w:tc>
          <w:tcPr>
            <w:tcW w:w="535" w:type="pct"/>
            <w:vMerge w:val="restar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rFonts w:hint="eastAsia" w:ascii="Times New Roman" w:hAnsi="Times New Roman" w:cs="Times New Roman"/>
                <w:sz w:val="21"/>
                <w:szCs w:val="21"/>
              </w:rPr>
              <w:t>危险废物处置</w:t>
            </w:r>
          </w:p>
        </w:tc>
        <w:tc>
          <w:tcPr>
            <w:tcW w:w="1114"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rFonts w:hint="eastAsia" w:ascii="Times New Roman" w:hAnsi="Times New Roman" w:cs="Times New Roman"/>
                <w:sz w:val="21"/>
                <w:szCs w:val="21"/>
              </w:rPr>
              <w:t>工业危险废物填埋比★</w:t>
            </w:r>
          </w:p>
        </w:tc>
        <w:tc>
          <w:tcPr>
            <w:tcW w:w="405"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rFonts w:ascii="Times New Roman" w:hAnsi="Times New Roman" w:cs="Times New Roman"/>
                <w:sz w:val="21"/>
                <w:szCs w:val="21"/>
              </w:rPr>
              <w:t>%</w:t>
            </w:r>
          </w:p>
        </w:tc>
        <w:tc>
          <w:tcPr>
            <w:tcW w:w="456"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rFonts w:ascii="Times New Roman" w:hAnsi="Times New Roman" w:cs="Times New Roman"/>
                <w:sz w:val="21"/>
                <w:szCs w:val="21"/>
              </w:rPr>
              <w:t>3</w:t>
            </w:r>
          </w:p>
        </w:tc>
        <w:tc>
          <w:tcPr>
            <w:tcW w:w="456"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rFonts w:ascii="Times New Roman" w:hAnsi="Times New Roman" w:cs="Times New Roman"/>
                <w:sz w:val="21"/>
                <w:szCs w:val="21"/>
              </w:rPr>
              <w:t>3</w:t>
            </w:r>
          </w:p>
        </w:tc>
        <w:tc>
          <w:tcPr>
            <w:tcW w:w="506"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rFonts w:hint="eastAsia" w:ascii="Times New Roman" w:hAnsi="Times New Roman" w:cs="Times New Roman"/>
                <w:sz w:val="21"/>
                <w:szCs w:val="21"/>
              </w:rPr>
              <w:t>市生态环境局</w:t>
            </w:r>
          </w:p>
        </w:tc>
        <w:tc>
          <w:tcPr>
            <w:tcW w:w="1001" w:type="pct"/>
            <w:tcBorders>
              <w:tl2br w:val="nil"/>
              <w:tr2bl w:val="nil"/>
            </w:tcBorders>
            <w:noWrap w:val="0"/>
            <w:vAlign w:val="center"/>
          </w:tcPr>
          <w:p>
            <w:pPr>
              <w:pStyle w:val="7"/>
              <w:widowControl w:val="0"/>
              <w:adjustRightInd w:val="0"/>
              <w:snapToGrid w:val="0"/>
              <w:spacing w:before="0" w:beforeAutospacing="0" w:after="0" w:afterAutospacing="0" w:line="300" w:lineRule="exact"/>
              <w:jc w:val="both"/>
              <w:rPr>
                <w:rFonts w:hint="eastAsia" w:ascii="Times New Roman" w:hAnsi="Times New Roman" w:eastAsia="宋体" w:cs="Times New Roman"/>
                <w:sz w:val="21"/>
                <w:szCs w:val="21"/>
                <w:highlight w:val="yellow"/>
                <w:lang w:eastAsia="zh-CN"/>
              </w:rPr>
            </w:pPr>
            <w:r>
              <w:rPr>
                <w:rFonts w:hint="eastAsia" w:ascii="Times New Roman" w:hAnsi="Times New Roman" w:cs="Times New Roman"/>
                <w:sz w:val="21"/>
                <w:szCs w:val="21"/>
              </w:rPr>
              <w:t>参照《浙江省危险废物“趋零填埋”三年攻坚行动方案》确定</w:t>
            </w:r>
            <w:r>
              <w:rPr>
                <w:rFonts w:hint="eastAsia" w:ascii="Times New Roman" w:hAnsi="Times New Roman" w:cs="Times New Roman"/>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67" w:type="pct"/>
            <w:tcBorders>
              <w:tl2br w:val="nil"/>
              <w:tr2bl w:val="nil"/>
            </w:tcBorders>
            <w:noWrap w:val="0"/>
            <w:vAlign w:val="center"/>
          </w:tcPr>
          <w:p>
            <w:pPr>
              <w:pStyle w:val="7"/>
              <w:widowControl w:val="0"/>
              <w:numPr>
                <w:ilvl w:val="0"/>
                <w:numId w:val="1"/>
              </w:numPr>
              <w:tabs>
                <w:tab w:val="left" w:pos="210"/>
              </w:tabs>
              <w:adjustRightInd w:val="0"/>
              <w:snapToGrid w:val="0"/>
              <w:spacing w:before="0" w:beforeAutospacing="0" w:after="0" w:afterAutospacing="0" w:line="260" w:lineRule="exact"/>
              <w:rPr>
                <w:rFonts w:ascii="Times New Roman" w:hAnsi="Times New Roman" w:cs="Times New Roman"/>
                <w:sz w:val="21"/>
                <w:szCs w:val="21"/>
              </w:rPr>
            </w:pPr>
          </w:p>
        </w:tc>
        <w:tc>
          <w:tcPr>
            <w:tcW w:w="360" w:type="pct"/>
            <w:vMerge w:val="continue"/>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p>
        </w:tc>
        <w:tc>
          <w:tcPr>
            <w:tcW w:w="535" w:type="pct"/>
            <w:vMerge w:val="continue"/>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p>
        </w:tc>
        <w:tc>
          <w:tcPr>
            <w:tcW w:w="1114"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rFonts w:hint="eastAsia" w:ascii="Times New Roman" w:hAnsi="Times New Roman" w:cs="Times New Roman"/>
                <w:sz w:val="21"/>
                <w:szCs w:val="21"/>
              </w:rPr>
              <w:t>医疗废物收集处置体系覆盖率★</w:t>
            </w:r>
          </w:p>
        </w:tc>
        <w:tc>
          <w:tcPr>
            <w:tcW w:w="405"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rFonts w:ascii="Times New Roman" w:hAnsi="Times New Roman" w:cs="Times New Roman"/>
                <w:sz w:val="21"/>
                <w:szCs w:val="21"/>
              </w:rPr>
              <w:t>%</w:t>
            </w:r>
          </w:p>
        </w:tc>
        <w:tc>
          <w:tcPr>
            <w:tcW w:w="456"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rFonts w:ascii="Times New Roman" w:hAnsi="Times New Roman" w:cs="Times New Roman"/>
                <w:sz w:val="21"/>
                <w:szCs w:val="21"/>
              </w:rPr>
              <w:t>100</w:t>
            </w:r>
          </w:p>
        </w:tc>
        <w:tc>
          <w:tcPr>
            <w:tcW w:w="456"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rFonts w:ascii="Times New Roman" w:hAnsi="Times New Roman" w:cs="Times New Roman"/>
                <w:sz w:val="21"/>
                <w:szCs w:val="21"/>
              </w:rPr>
              <w:t>100</w:t>
            </w:r>
          </w:p>
        </w:tc>
        <w:tc>
          <w:tcPr>
            <w:tcW w:w="506"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hint="eastAsia" w:ascii="Times New Roman" w:hAnsi="Times New Roman" w:eastAsia="宋体" w:cs="Times New Roman"/>
                <w:sz w:val="21"/>
                <w:szCs w:val="21"/>
                <w:lang w:eastAsia="zh-CN"/>
              </w:rPr>
            </w:pPr>
            <w:r>
              <w:rPr>
                <w:rFonts w:hint="eastAsia" w:ascii="Times New Roman" w:hAnsi="Times New Roman" w:cs="Times New Roman"/>
                <w:sz w:val="21"/>
                <w:szCs w:val="21"/>
                <w:lang w:eastAsia="zh-CN"/>
              </w:rPr>
              <w:t>市卫生健康局</w:t>
            </w:r>
          </w:p>
        </w:tc>
        <w:tc>
          <w:tcPr>
            <w:tcW w:w="1001" w:type="pct"/>
            <w:tcBorders>
              <w:tl2br w:val="nil"/>
              <w:tr2bl w:val="nil"/>
            </w:tcBorders>
            <w:noWrap w:val="0"/>
            <w:vAlign w:val="center"/>
          </w:tcPr>
          <w:p>
            <w:pPr>
              <w:pStyle w:val="7"/>
              <w:widowControl w:val="0"/>
              <w:adjustRightInd w:val="0"/>
              <w:snapToGrid w:val="0"/>
              <w:spacing w:before="0" w:beforeAutospacing="0" w:after="0" w:afterAutospacing="0" w:line="300" w:lineRule="exact"/>
              <w:jc w:val="both"/>
              <w:rPr>
                <w:rFonts w:ascii="Times New Roman" w:hAnsi="Times New Roman" w:cs="Times New Roman"/>
                <w:sz w:val="21"/>
                <w:szCs w:val="21"/>
              </w:rPr>
            </w:pPr>
            <w:r>
              <w:rPr>
                <w:rFonts w:hint="eastAsia" w:ascii="Times New Roman" w:hAnsi="Times New Roman" w:cs="Times New Roman"/>
                <w:sz w:val="21"/>
                <w:szCs w:val="21"/>
              </w:rPr>
              <w:t>根据汕尾市现有危险废物收集覆盖情况确定。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67" w:type="pct"/>
            <w:tcBorders>
              <w:tl2br w:val="nil"/>
              <w:tr2bl w:val="nil"/>
            </w:tcBorders>
            <w:noWrap w:val="0"/>
            <w:vAlign w:val="center"/>
          </w:tcPr>
          <w:p>
            <w:pPr>
              <w:pStyle w:val="7"/>
              <w:widowControl w:val="0"/>
              <w:numPr>
                <w:ilvl w:val="0"/>
                <w:numId w:val="1"/>
              </w:numPr>
              <w:tabs>
                <w:tab w:val="left" w:pos="210"/>
              </w:tabs>
              <w:adjustRightInd w:val="0"/>
              <w:snapToGrid w:val="0"/>
              <w:spacing w:before="0" w:beforeAutospacing="0" w:after="0" w:afterAutospacing="0" w:line="260" w:lineRule="exact"/>
              <w:rPr>
                <w:rFonts w:ascii="Times New Roman" w:hAnsi="Times New Roman" w:cs="Times New Roman"/>
                <w:sz w:val="21"/>
                <w:szCs w:val="21"/>
              </w:rPr>
            </w:pPr>
          </w:p>
        </w:tc>
        <w:tc>
          <w:tcPr>
            <w:tcW w:w="360" w:type="pct"/>
            <w:vMerge w:val="continue"/>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p>
        </w:tc>
        <w:tc>
          <w:tcPr>
            <w:tcW w:w="535" w:type="pct"/>
            <w:vMerge w:val="continue"/>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p>
        </w:tc>
        <w:tc>
          <w:tcPr>
            <w:tcW w:w="1114"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pacing w:val="-6"/>
                <w:sz w:val="21"/>
                <w:szCs w:val="21"/>
              </w:rPr>
            </w:pPr>
            <w:r>
              <w:rPr>
                <w:rFonts w:hint="eastAsia" w:ascii="Times New Roman" w:hAnsi="Times New Roman" w:cs="Times New Roman"/>
                <w:sz w:val="21"/>
                <w:szCs w:val="21"/>
              </w:rPr>
              <w:t>社会源危险废物收集处置体系覆盖率</w:t>
            </w:r>
          </w:p>
        </w:tc>
        <w:tc>
          <w:tcPr>
            <w:tcW w:w="405"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rFonts w:ascii="Times New Roman" w:hAnsi="Times New Roman" w:cs="Times New Roman"/>
                <w:sz w:val="21"/>
                <w:szCs w:val="21"/>
              </w:rPr>
              <w:t>%</w:t>
            </w:r>
          </w:p>
        </w:tc>
        <w:tc>
          <w:tcPr>
            <w:tcW w:w="456"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rFonts w:ascii="Times New Roman" w:hAnsi="Times New Roman" w:cs="Times New Roman"/>
                <w:sz w:val="21"/>
                <w:szCs w:val="21"/>
              </w:rPr>
              <w:t>-</w:t>
            </w:r>
          </w:p>
        </w:tc>
        <w:tc>
          <w:tcPr>
            <w:tcW w:w="456"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rFonts w:ascii="Times New Roman" w:hAnsi="Times New Roman" w:cs="Times New Roman"/>
                <w:sz w:val="21"/>
                <w:szCs w:val="21"/>
              </w:rPr>
              <w:t>80</w:t>
            </w:r>
          </w:p>
        </w:tc>
        <w:tc>
          <w:tcPr>
            <w:tcW w:w="506"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rFonts w:hint="eastAsia" w:ascii="Times New Roman" w:hAnsi="Times New Roman" w:cs="Times New Roman"/>
                <w:sz w:val="21"/>
                <w:szCs w:val="21"/>
              </w:rPr>
              <w:t>涉及社会源危险废物的主管部门</w:t>
            </w:r>
          </w:p>
        </w:tc>
        <w:tc>
          <w:tcPr>
            <w:tcW w:w="1001" w:type="pct"/>
            <w:tcBorders>
              <w:tl2br w:val="nil"/>
              <w:tr2bl w:val="nil"/>
            </w:tcBorders>
            <w:noWrap w:val="0"/>
            <w:vAlign w:val="center"/>
          </w:tcPr>
          <w:p>
            <w:pPr>
              <w:pStyle w:val="7"/>
              <w:widowControl w:val="0"/>
              <w:adjustRightInd w:val="0"/>
              <w:snapToGrid w:val="0"/>
              <w:spacing w:before="0" w:beforeAutospacing="0" w:after="0" w:afterAutospacing="0" w:line="300" w:lineRule="exact"/>
              <w:jc w:val="both"/>
              <w:rPr>
                <w:rFonts w:ascii="Times New Roman" w:hAnsi="Times New Roman" w:cs="Times New Roman"/>
                <w:sz w:val="21"/>
                <w:szCs w:val="21"/>
              </w:rPr>
            </w:pPr>
            <w:r>
              <w:rPr>
                <w:rFonts w:hint="eastAsia" w:ascii="Times New Roman" w:hAnsi="Times New Roman" w:cs="Times New Roman"/>
                <w:sz w:val="21"/>
                <w:szCs w:val="21"/>
              </w:rPr>
              <w:t>根据汕尾市现有社会源危险废物收集覆盖体系确定。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67" w:type="pct"/>
            <w:tcBorders>
              <w:tl2br w:val="nil"/>
              <w:tr2bl w:val="nil"/>
            </w:tcBorders>
            <w:noWrap w:val="0"/>
            <w:vAlign w:val="center"/>
          </w:tcPr>
          <w:p>
            <w:pPr>
              <w:pStyle w:val="7"/>
              <w:widowControl w:val="0"/>
              <w:numPr>
                <w:ilvl w:val="0"/>
                <w:numId w:val="1"/>
              </w:numPr>
              <w:tabs>
                <w:tab w:val="left" w:pos="210"/>
              </w:tabs>
              <w:adjustRightInd w:val="0"/>
              <w:snapToGrid w:val="0"/>
              <w:spacing w:before="0" w:beforeAutospacing="0" w:after="0" w:afterAutospacing="0" w:line="260" w:lineRule="exact"/>
              <w:rPr>
                <w:rFonts w:ascii="Times New Roman" w:hAnsi="Times New Roman" w:cs="Times New Roman"/>
                <w:sz w:val="21"/>
                <w:szCs w:val="21"/>
              </w:rPr>
            </w:pPr>
          </w:p>
        </w:tc>
        <w:tc>
          <w:tcPr>
            <w:tcW w:w="360" w:type="pct"/>
            <w:vMerge w:val="continue"/>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p>
        </w:tc>
        <w:tc>
          <w:tcPr>
            <w:tcW w:w="535"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rFonts w:hint="eastAsia" w:ascii="Times New Roman" w:hAnsi="Times New Roman" w:cs="Times New Roman"/>
                <w:sz w:val="21"/>
                <w:szCs w:val="21"/>
              </w:rPr>
              <w:t>一般工业固体废物贮存处置</w:t>
            </w:r>
          </w:p>
        </w:tc>
        <w:tc>
          <w:tcPr>
            <w:tcW w:w="1114"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rFonts w:hint="eastAsia" w:ascii="Times New Roman" w:hAnsi="Times New Roman" w:cs="Times New Roman"/>
                <w:sz w:val="21"/>
                <w:szCs w:val="21"/>
              </w:rPr>
              <w:t>一般工业固体废物贮存处置量下降幅度★</w:t>
            </w:r>
          </w:p>
        </w:tc>
        <w:tc>
          <w:tcPr>
            <w:tcW w:w="405"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rFonts w:ascii="Times New Roman" w:hAnsi="Times New Roman" w:cs="Times New Roman"/>
                <w:sz w:val="21"/>
                <w:szCs w:val="21"/>
              </w:rPr>
              <w:t>%</w:t>
            </w:r>
          </w:p>
        </w:tc>
        <w:tc>
          <w:tcPr>
            <w:tcW w:w="456"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rFonts w:hint="eastAsia" w:ascii="Times New Roman" w:hAnsi="Times New Roman" w:cs="Times New Roman"/>
                <w:sz w:val="21"/>
                <w:szCs w:val="21"/>
              </w:rPr>
              <w:t>-</w:t>
            </w:r>
          </w:p>
        </w:tc>
        <w:tc>
          <w:tcPr>
            <w:tcW w:w="456"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rFonts w:hint="eastAsia" w:ascii="Times New Roman" w:hAnsi="Times New Roman" w:cs="Times New Roman"/>
                <w:sz w:val="21"/>
                <w:szCs w:val="21"/>
              </w:rPr>
              <w:t>5</w:t>
            </w:r>
          </w:p>
        </w:tc>
        <w:tc>
          <w:tcPr>
            <w:tcW w:w="506"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rFonts w:hint="eastAsia" w:ascii="Times New Roman" w:hAnsi="Times New Roman" w:cs="Times New Roman"/>
                <w:sz w:val="21"/>
                <w:szCs w:val="21"/>
              </w:rPr>
              <w:t>市生态环境局</w:t>
            </w:r>
          </w:p>
        </w:tc>
        <w:tc>
          <w:tcPr>
            <w:tcW w:w="1001" w:type="pct"/>
            <w:tcBorders>
              <w:tl2br w:val="nil"/>
              <w:tr2bl w:val="nil"/>
            </w:tcBorders>
            <w:noWrap w:val="0"/>
            <w:vAlign w:val="center"/>
          </w:tcPr>
          <w:p>
            <w:pPr>
              <w:pStyle w:val="7"/>
              <w:widowControl w:val="0"/>
              <w:adjustRightInd w:val="0"/>
              <w:snapToGrid w:val="0"/>
              <w:spacing w:before="0" w:beforeAutospacing="0" w:after="0" w:afterAutospacing="0" w:line="300" w:lineRule="exact"/>
              <w:jc w:val="both"/>
              <w:rPr>
                <w:rFonts w:ascii="Times New Roman" w:hAnsi="Times New Roman" w:cs="Times New Roman"/>
                <w:sz w:val="21"/>
                <w:szCs w:val="21"/>
              </w:rPr>
            </w:pPr>
            <w:r>
              <w:rPr>
                <w:rFonts w:hint="eastAsia" w:ascii="Times New Roman" w:hAnsi="Times New Roman" w:cs="Times New Roman"/>
                <w:sz w:val="21"/>
                <w:szCs w:val="21"/>
              </w:rPr>
              <w:t>根据无废城市建设“三化要求”，并结合汕尾市实际情况确定。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67" w:type="pct"/>
            <w:tcBorders>
              <w:tl2br w:val="nil"/>
              <w:tr2bl w:val="nil"/>
            </w:tcBorders>
            <w:noWrap w:val="0"/>
            <w:vAlign w:val="center"/>
          </w:tcPr>
          <w:p>
            <w:pPr>
              <w:pStyle w:val="7"/>
              <w:widowControl w:val="0"/>
              <w:numPr>
                <w:ilvl w:val="0"/>
                <w:numId w:val="1"/>
              </w:numPr>
              <w:tabs>
                <w:tab w:val="left" w:pos="210"/>
              </w:tabs>
              <w:adjustRightInd w:val="0"/>
              <w:snapToGrid w:val="0"/>
              <w:spacing w:before="0" w:beforeAutospacing="0" w:after="0" w:afterAutospacing="0" w:line="260" w:lineRule="exact"/>
              <w:rPr>
                <w:rFonts w:ascii="Times New Roman" w:hAnsi="Times New Roman" w:cs="Times New Roman"/>
                <w:sz w:val="21"/>
                <w:szCs w:val="21"/>
              </w:rPr>
            </w:pPr>
          </w:p>
        </w:tc>
        <w:tc>
          <w:tcPr>
            <w:tcW w:w="360" w:type="pct"/>
            <w:vMerge w:val="continue"/>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p>
        </w:tc>
        <w:tc>
          <w:tcPr>
            <w:tcW w:w="535"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rFonts w:hint="eastAsia" w:ascii="Times New Roman" w:hAnsi="Times New Roman" w:cs="Times New Roman"/>
                <w:sz w:val="21"/>
                <w:szCs w:val="21"/>
              </w:rPr>
              <w:t>农业废弃物处置</w:t>
            </w:r>
          </w:p>
        </w:tc>
        <w:tc>
          <w:tcPr>
            <w:tcW w:w="1114"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rFonts w:hint="eastAsia" w:ascii="Times New Roman" w:hAnsi="Times New Roman" w:cs="Times New Roman"/>
                <w:sz w:val="21"/>
                <w:szCs w:val="21"/>
              </w:rPr>
              <w:t>病死畜禽无害化处理率</w:t>
            </w:r>
          </w:p>
        </w:tc>
        <w:tc>
          <w:tcPr>
            <w:tcW w:w="405"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rFonts w:ascii="Times New Roman" w:hAnsi="Times New Roman" w:cs="Times New Roman"/>
                <w:sz w:val="21"/>
                <w:szCs w:val="21"/>
              </w:rPr>
              <w:t>%</w:t>
            </w:r>
          </w:p>
        </w:tc>
        <w:tc>
          <w:tcPr>
            <w:tcW w:w="456"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rFonts w:ascii="Times New Roman" w:hAnsi="Times New Roman" w:cs="Times New Roman"/>
                <w:sz w:val="21"/>
                <w:szCs w:val="21"/>
              </w:rPr>
              <w:t>100</w:t>
            </w:r>
          </w:p>
        </w:tc>
        <w:tc>
          <w:tcPr>
            <w:tcW w:w="456"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rFonts w:ascii="Times New Roman" w:hAnsi="Times New Roman" w:cs="Times New Roman"/>
                <w:sz w:val="21"/>
                <w:szCs w:val="21"/>
              </w:rPr>
              <w:t>100</w:t>
            </w:r>
          </w:p>
        </w:tc>
        <w:tc>
          <w:tcPr>
            <w:tcW w:w="506"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rFonts w:hint="eastAsia" w:ascii="Times New Roman" w:hAnsi="Times New Roman" w:cs="Times New Roman"/>
                <w:sz w:val="21"/>
                <w:szCs w:val="21"/>
              </w:rPr>
              <w:t>市农业农村局</w:t>
            </w:r>
          </w:p>
        </w:tc>
        <w:tc>
          <w:tcPr>
            <w:tcW w:w="1001" w:type="pct"/>
            <w:tcBorders>
              <w:tl2br w:val="nil"/>
              <w:tr2bl w:val="nil"/>
            </w:tcBorders>
            <w:noWrap w:val="0"/>
            <w:vAlign w:val="top"/>
          </w:tcPr>
          <w:p>
            <w:pPr>
              <w:pStyle w:val="7"/>
              <w:widowControl w:val="0"/>
              <w:adjustRightInd w:val="0"/>
              <w:snapToGrid w:val="0"/>
              <w:spacing w:before="0" w:beforeAutospacing="0" w:after="0" w:afterAutospacing="0" w:line="300" w:lineRule="exact"/>
              <w:jc w:val="both"/>
              <w:rPr>
                <w:rFonts w:hint="eastAsia" w:ascii="Times New Roman" w:hAnsi="Times New Roman" w:eastAsia="宋体" w:cs="Times New Roman"/>
                <w:sz w:val="21"/>
                <w:szCs w:val="21"/>
                <w:lang w:eastAsia="zh-CN"/>
              </w:rPr>
            </w:pPr>
            <w:r>
              <w:rPr>
                <w:rFonts w:hint="eastAsia" w:ascii="Times New Roman" w:hAnsi="Times New Roman" w:cs="Times New Roman"/>
                <w:color w:val="000000"/>
                <w:sz w:val="21"/>
                <w:szCs w:val="21"/>
              </w:rPr>
              <w:t>《汕尾市农业农村现代化“十四五”规划》</w:t>
            </w:r>
            <w:r>
              <w:rPr>
                <w:rFonts w:hint="eastAsia" w:ascii="Times New Roman" w:hAnsi="Times New Roman" w:cs="Times New Roman"/>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67" w:type="pct"/>
            <w:tcBorders>
              <w:tl2br w:val="nil"/>
              <w:tr2bl w:val="nil"/>
            </w:tcBorders>
            <w:noWrap w:val="0"/>
            <w:vAlign w:val="center"/>
          </w:tcPr>
          <w:p>
            <w:pPr>
              <w:pStyle w:val="7"/>
              <w:widowControl w:val="0"/>
              <w:numPr>
                <w:ilvl w:val="0"/>
                <w:numId w:val="1"/>
              </w:numPr>
              <w:tabs>
                <w:tab w:val="left" w:pos="210"/>
              </w:tabs>
              <w:adjustRightInd w:val="0"/>
              <w:snapToGrid w:val="0"/>
              <w:spacing w:before="0" w:beforeAutospacing="0" w:after="0" w:afterAutospacing="0" w:line="260" w:lineRule="exact"/>
              <w:rPr>
                <w:rFonts w:ascii="Times New Roman" w:hAnsi="Times New Roman" w:cs="Times New Roman"/>
                <w:sz w:val="21"/>
                <w:szCs w:val="21"/>
              </w:rPr>
            </w:pPr>
          </w:p>
        </w:tc>
        <w:tc>
          <w:tcPr>
            <w:tcW w:w="360" w:type="pct"/>
            <w:vMerge w:val="continue"/>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p>
        </w:tc>
        <w:tc>
          <w:tcPr>
            <w:tcW w:w="535" w:type="pct"/>
            <w:vMerge w:val="restar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rFonts w:hint="eastAsia" w:ascii="Times New Roman" w:hAnsi="Times New Roman" w:cs="Times New Roman"/>
                <w:sz w:val="21"/>
                <w:szCs w:val="21"/>
              </w:rPr>
              <w:t>生活领域固体废物处置</w:t>
            </w:r>
          </w:p>
        </w:tc>
        <w:tc>
          <w:tcPr>
            <w:tcW w:w="1114"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rFonts w:hint="eastAsia"/>
                <w:sz w:val="21"/>
                <w:szCs w:val="21"/>
              </w:rPr>
              <w:t>生活垃圾焚烧处理能力占比★</w:t>
            </w:r>
          </w:p>
        </w:tc>
        <w:tc>
          <w:tcPr>
            <w:tcW w:w="405"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sz w:val="21"/>
                <w:szCs w:val="21"/>
              </w:rPr>
              <w:t>%</w:t>
            </w:r>
          </w:p>
        </w:tc>
        <w:tc>
          <w:tcPr>
            <w:tcW w:w="456"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sz w:val="21"/>
                <w:szCs w:val="21"/>
              </w:rPr>
              <w:t>100</w:t>
            </w:r>
          </w:p>
        </w:tc>
        <w:tc>
          <w:tcPr>
            <w:tcW w:w="456"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sz w:val="21"/>
                <w:szCs w:val="21"/>
              </w:rPr>
              <w:t>100</w:t>
            </w:r>
          </w:p>
        </w:tc>
        <w:tc>
          <w:tcPr>
            <w:tcW w:w="506"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sz w:val="21"/>
                <w:szCs w:val="21"/>
              </w:rPr>
              <w:t>市住房城乡建设局</w:t>
            </w:r>
          </w:p>
        </w:tc>
        <w:tc>
          <w:tcPr>
            <w:tcW w:w="1001" w:type="pct"/>
            <w:tcBorders>
              <w:tl2br w:val="nil"/>
              <w:tr2bl w:val="nil"/>
            </w:tcBorders>
            <w:noWrap w:val="0"/>
            <w:vAlign w:val="center"/>
          </w:tcPr>
          <w:p>
            <w:pPr>
              <w:pStyle w:val="7"/>
              <w:widowControl w:val="0"/>
              <w:adjustRightInd w:val="0"/>
              <w:snapToGrid w:val="0"/>
              <w:spacing w:before="0" w:beforeAutospacing="0" w:after="0" w:afterAutospacing="0" w:line="300" w:lineRule="exact"/>
              <w:jc w:val="both"/>
              <w:rPr>
                <w:rFonts w:hint="eastAsia" w:ascii="Times New Roman" w:hAnsi="Times New Roman" w:eastAsia="宋体" w:cs="Times New Roman"/>
                <w:sz w:val="21"/>
                <w:szCs w:val="21"/>
                <w:lang w:eastAsia="zh-CN"/>
              </w:rPr>
            </w:pPr>
            <w:r>
              <w:rPr>
                <w:sz w:val="21"/>
                <w:szCs w:val="21"/>
              </w:rPr>
              <w:t>维持现状不下降</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67" w:type="pct"/>
            <w:tcBorders>
              <w:tl2br w:val="nil"/>
              <w:tr2bl w:val="nil"/>
            </w:tcBorders>
            <w:noWrap w:val="0"/>
            <w:vAlign w:val="center"/>
          </w:tcPr>
          <w:p>
            <w:pPr>
              <w:pStyle w:val="7"/>
              <w:widowControl w:val="0"/>
              <w:numPr>
                <w:ilvl w:val="0"/>
                <w:numId w:val="1"/>
              </w:numPr>
              <w:tabs>
                <w:tab w:val="left" w:pos="210"/>
              </w:tabs>
              <w:adjustRightInd w:val="0"/>
              <w:snapToGrid w:val="0"/>
              <w:spacing w:before="0" w:beforeAutospacing="0" w:after="0" w:afterAutospacing="0" w:line="260" w:lineRule="exact"/>
              <w:rPr>
                <w:rFonts w:ascii="Times New Roman" w:hAnsi="Times New Roman" w:cs="Times New Roman"/>
                <w:sz w:val="21"/>
                <w:szCs w:val="21"/>
              </w:rPr>
            </w:pPr>
          </w:p>
        </w:tc>
        <w:tc>
          <w:tcPr>
            <w:tcW w:w="360" w:type="pct"/>
            <w:vMerge w:val="continue"/>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p>
        </w:tc>
        <w:tc>
          <w:tcPr>
            <w:tcW w:w="535" w:type="pct"/>
            <w:vMerge w:val="continue"/>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p>
        </w:tc>
        <w:tc>
          <w:tcPr>
            <w:tcW w:w="1114"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rFonts w:hint="eastAsia"/>
                <w:sz w:val="21"/>
                <w:szCs w:val="21"/>
              </w:rPr>
              <w:t>城镇污水污泥无害化处置率★</w:t>
            </w:r>
          </w:p>
        </w:tc>
        <w:tc>
          <w:tcPr>
            <w:tcW w:w="405"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sz w:val="21"/>
                <w:szCs w:val="21"/>
              </w:rPr>
              <w:t>%</w:t>
            </w:r>
          </w:p>
        </w:tc>
        <w:tc>
          <w:tcPr>
            <w:tcW w:w="456"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sz w:val="21"/>
                <w:szCs w:val="21"/>
              </w:rPr>
              <w:t>100</w:t>
            </w:r>
          </w:p>
        </w:tc>
        <w:tc>
          <w:tcPr>
            <w:tcW w:w="456"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sz w:val="21"/>
                <w:szCs w:val="21"/>
              </w:rPr>
              <w:t>100</w:t>
            </w:r>
          </w:p>
        </w:tc>
        <w:tc>
          <w:tcPr>
            <w:tcW w:w="506"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sz w:val="21"/>
                <w:szCs w:val="21"/>
              </w:rPr>
              <w:t>市住房城乡建设局</w:t>
            </w:r>
          </w:p>
        </w:tc>
        <w:tc>
          <w:tcPr>
            <w:tcW w:w="1001" w:type="pct"/>
            <w:tcBorders>
              <w:tl2br w:val="nil"/>
              <w:tr2bl w:val="nil"/>
            </w:tcBorders>
            <w:noWrap w:val="0"/>
            <w:vAlign w:val="center"/>
          </w:tcPr>
          <w:p>
            <w:pPr>
              <w:pStyle w:val="7"/>
              <w:widowControl w:val="0"/>
              <w:adjustRightInd w:val="0"/>
              <w:snapToGrid w:val="0"/>
              <w:spacing w:before="0" w:beforeAutospacing="0" w:after="0" w:afterAutospacing="0" w:line="300" w:lineRule="exact"/>
              <w:jc w:val="both"/>
              <w:rPr>
                <w:rFonts w:hint="eastAsia" w:ascii="Times New Roman" w:hAnsi="Times New Roman" w:eastAsia="宋体" w:cs="Times New Roman"/>
                <w:sz w:val="21"/>
                <w:szCs w:val="21"/>
                <w:lang w:eastAsia="zh-CN"/>
              </w:rPr>
            </w:pPr>
            <w:r>
              <w:rPr>
                <w:sz w:val="21"/>
                <w:szCs w:val="21"/>
              </w:rPr>
              <w:t>维持现状不下降</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82" w:hRule="atLeast"/>
          <w:jc w:val="center"/>
        </w:trPr>
        <w:tc>
          <w:tcPr>
            <w:tcW w:w="167" w:type="pct"/>
            <w:tcBorders>
              <w:tl2br w:val="nil"/>
              <w:tr2bl w:val="nil"/>
            </w:tcBorders>
            <w:noWrap w:val="0"/>
            <w:vAlign w:val="center"/>
          </w:tcPr>
          <w:p>
            <w:pPr>
              <w:pStyle w:val="7"/>
              <w:widowControl w:val="0"/>
              <w:numPr>
                <w:ilvl w:val="0"/>
                <w:numId w:val="1"/>
              </w:numPr>
              <w:tabs>
                <w:tab w:val="left" w:pos="210"/>
              </w:tabs>
              <w:adjustRightInd w:val="0"/>
              <w:snapToGrid w:val="0"/>
              <w:spacing w:before="0" w:beforeAutospacing="0" w:after="0" w:afterAutospacing="0" w:line="260" w:lineRule="exact"/>
              <w:rPr>
                <w:rFonts w:ascii="Times New Roman" w:hAnsi="Times New Roman" w:cs="Times New Roman"/>
                <w:sz w:val="21"/>
                <w:szCs w:val="21"/>
              </w:rPr>
            </w:pPr>
          </w:p>
        </w:tc>
        <w:tc>
          <w:tcPr>
            <w:tcW w:w="360" w:type="pct"/>
            <w:vMerge w:val="restar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rFonts w:hint="eastAsia" w:ascii="Times New Roman" w:hAnsi="Times New Roman" w:cs="Times New Roman"/>
                <w:spacing w:val="-6"/>
                <w:sz w:val="21"/>
                <w:szCs w:val="21"/>
              </w:rPr>
              <w:t>保障能力</w:t>
            </w:r>
          </w:p>
        </w:tc>
        <w:tc>
          <w:tcPr>
            <w:tcW w:w="535" w:type="pct"/>
            <w:vMerge w:val="restar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rFonts w:hint="eastAsia" w:ascii="Times New Roman" w:hAnsi="Times New Roman" w:cs="Times New Roman"/>
                <w:sz w:val="21"/>
                <w:szCs w:val="21"/>
              </w:rPr>
              <w:t>制度体系建设</w:t>
            </w:r>
          </w:p>
        </w:tc>
        <w:tc>
          <w:tcPr>
            <w:tcW w:w="1114"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rFonts w:ascii="Times New Roman" w:hAnsi="Times New Roman" w:cs="Times New Roman"/>
                <w:sz w:val="21"/>
                <w:szCs w:val="21"/>
              </w:rPr>
              <w:t>“</w:t>
            </w:r>
            <w:r>
              <w:rPr>
                <w:rFonts w:hint="eastAsia" w:ascii="Times New Roman" w:hAnsi="Times New Roman" w:cs="Times New Roman"/>
                <w:sz w:val="21"/>
                <w:szCs w:val="21"/>
              </w:rPr>
              <w:t>无废城市</w:t>
            </w:r>
            <w:r>
              <w:rPr>
                <w:rFonts w:ascii="Times New Roman" w:hAnsi="Times New Roman" w:cs="Times New Roman"/>
                <w:sz w:val="21"/>
                <w:szCs w:val="21"/>
              </w:rPr>
              <w:t>”</w:t>
            </w:r>
            <w:r>
              <w:rPr>
                <w:rFonts w:hint="eastAsia" w:ascii="Times New Roman" w:hAnsi="Times New Roman" w:cs="Times New Roman"/>
                <w:sz w:val="21"/>
                <w:szCs w:val="21"/>
              </w:rPr>
              <w:t>建设地方性法规、政策性文件及有关规划制定数量★</w:t>
            </w:r>
          </w:p>
        </w:tc>
        <w:tc>
          <w:tcPr>
            <w:tcW w:w="405"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rFonts w:hint="eastAsia" w:ascii="Times New Roman" w:hAnsi="Times New Roman" w:cs="Times New Roman"/>
                <w:sz w:val="21"/>
                <w:szCs w:val="21"/>
              </w:rPr>
              <w:t>个</w:t>
            </w:r>
          </w:p>
        </w:tc>
        <w:tc>
          <w:tcPr>
            <w:tcW w:w="456"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rFonts w:hint="eastAsia" w:ascii="Times New Roman" w:hAnsi="Times New Roman" w:cs="Times New Roman"/>
                <w:sz w:val="21"/>
                <w:szCs w:val="21"/>
              </w:rPr>
              <w:t>4</w:t>
            </w:r>
            <w:r>
              <w:rPr>
                <w:rFonts w:ascii="Times New Roman" w:hAnsi="Times New Roman" w:cs="Times New Roman"/>
                <w:sz w:val="21"/>
                <w:szCs w:val="21"/>
              </w:rPr>
              <w:t>6</w:t>
            </w:r>
          </w:p>
        </w:tc>
        <w:tc>
          <w:tcPr>
            <w:tcW w:w="456"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rFonts w:hint="eastAsia" w:ascii="Times New Roman" w:hAnsi="Times New Roman" w:cs="Times New Roman"/>
                <w:sz w:val="21"/>
                <w:szCs w:val="21"/>
              </w:rPr>
              <w:t>新增2</w:t>
            </w:r>
            <w:r>
              <w:rPr>
                <w:rFonts w:ascii="Times New Roman" w:hAnsi="Times New Roman" w:cs="Times New Roman"/>
                <w:sz w:val="21"/>
                <w:szCs w:val="21"/>
              </w:rPr>
              <w:t>0</w:t>
            </w:r>
            <w:r>
              <w:rPr>
                <w:rFonts w:hint="eastAsia" w:ascii="Times New Roman" w:hAnsi="Times New Roman" w:cs="Times New Roman"/>
                <w:sz w:val="21"/>
                <w:szCs w:val="21"/>
              </w:rPr>
              <w:t>个</w:t>
            </w:r>
          </w:p>
        </w:tc>
        <w:tc>
          <w:tcPr>
            <w:tcW w:w="506"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rFonts w:hint="eastAsia" w:ascii="Times New Roman" w:hAnsi="Times New Roman" w:cs="Times New Roman"/>
                <w:sz w:val="21"/>
                <w:szCs w:val="21"/>
              </w:rPr>
              <w:t>市</w:t>
            </w:r>
            <w:r>
              <w:rPr>
                <w:rFonts w:ascii="Times New Roman" w:hAnsi="Times New Roman" w:cs="Times New Roman"/>
                <w:sz w:val="21"/>
                <w:szCs w:val="21"/>
              </w:rPr>
              <w:t>“</w:t>
            </w:r>
            <w:r>
              <w:rPr>
                <w:rFonts w:hint="eastAsia" w:ascii="Times New Roman" w:hAnsi="Times New Roman" w:cs="Times New Roman"/>
                <w:sz w:val="21"/>
                <w:szCs w:val="21"/>
              </w:rPr>
              <w:t>无废城市</w:t>
            </w:r>
            <w:r>
              <w:rPr>
                <w:rFonts w:ascii="Times New Roman" w:hAnsi="Times New Roman" w:cs="Times New Roman"/>
                <w:sz w:val="21"/>
                <w:szCs w:val="21"/>
              </w:rPr>
              <w:t>”</w:t>
            </w:r>
            <w:r>
              <w:rPr>
                <w:rFonts w:hint="eastAsia" w:ascii="Times New Roman" w:hAnsi="Times New Roman" w:cs="Times New Roman"/>
                <w:sz w:val="21"/>
                <w:szCs w:val="21"/>
              </w:rPr>
              <w:t>建设工作领导小组各成员单位</w:t>
            </w:r>
          </w:p>
        </w:tc>
        <w:tc>
          <w:tcPr>
            <w:tcW w:w="1001" w:type="pct"/>
            <w:tcBorders>
              <w:tl2br w:val="nil"/>
              <w:tr2bl w:val="nil"/>
            </w:tcBorders>
            <w:noWrap w:val="0"/>
            <w:vAlign w:val="center"/>
          </w:tcPr>
          <w:p>
            <w:pPr>
              <w:pStyle w:val="7"/>
              <w:widowControl w:val="0"/>
              <w:adjustRightInd w:val="0"/>
              <w:snapToGrid w:val="0"/>
              <w:spacing w:before="0" w:beforeAutospacing="0" w:after="0" w:afterAutospacing="0" w:line="300" w:lineRule="exact"/>
              <w:jc w:val="both"/>
              <w:rPr>
                <w:rFonts w:hint="eastAsia" w:ascii="Times New Roman" w:hAnsi="Times New Roman" w:eastAsia="宋体" w:cs="Times New Roman"/>
                <w:sz w:val="21"/>
                <w:szCs w:val="21"/>
                <w:lang w:eastAsia="zh-CN"/>
              </w:rPr>
            </w:pPr>
            <w:r>
              <w:rPr>
                <w:rFonts w:hint="eastAsia" w:ascii="Times New Roman" w:hAnsi="Times New Roman" w:cs="Times New Roman"/>
                <w:sz w:val="21"/>
                <w:szCs w:val="21"/>
              </w:rPr>
              <w:t>协调沟通商定</w:t>
            </w:r>
            <w:r>
              <w:rPr>
                <w:rFonts w:hint="eastAsia" w:ascii="Times New Roman" w:hAnsi="Times New Roman" w:cs="Times New Roman"/>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82" w:hRule="atLeast"/>
          <w:jc w:val="center"/>
        </w:trPr>
        <w:tc>
          <w:tcPr>
            <w:tcW w:w="167" w:type="pct"/>
            <w:tcBorders>
              <w:tl2br w:val="nil"/>
              <w:tr2bl w:val="nil"/>
            </w:tcBorders>
            <w:noWrap w:val="0"/>
            <w:vAlign w:val="center"/>
          </w:tcPr>
          <w:p>
            <w:pPr>
              <w:pStyle w:val="7"/>
              <w:widowControl w:val="0"/>
              <w:numPr>
                <w:ilvl w:val="0"/>
                <w:numId w:val="1"/>
              </w:numPr>
              <w:tabs>
                <w:tab w:val="left" w:pos="210"/>
              </w:tabs>
              <w:adjustRightInd w:val="0"/>
              <w:snapToGrid w:val="0"/>
              <w:spacing w:before="0" w:beforeAutospacing="0" w:after="0" w:afterAutospacing="0" w:line="260" w:lineRule="exact"/>
              <w:rPr>
                <w:rFonts w:ascii="Times New Roman" w:hAnsi="Times New Roman" w:cs="Times New Roman"/>
                <w:sz w:val="21"/>
                <w:szCs w:val="21"/>
              </w:rPr>
            </w:pPr>
          </w:p>
        </w:tc>
        <w:tc>
          <w:tcPr>
            <w:tcW w:w="360" w:type="pct"/>
            <w:vMerge w:val="continue"/>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p>
        </w:tc>
        <w:tc>
          <w:tcPr>
            <w:tcW w:w="535" w:type="pct"/>
            <w:vMerge w:val="continue"/>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p>
        </w:tc>
        <w:tc>
          <w:tcPr>
            <w:tcW w:w="1114"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rFonts w:ascii="Times New Roman" w:hAnsi="Times New Roman" w:cs="Times New Roman"/>
                <w:sz w:val="21"/>
                <w:szCs w:val="21"/>
              </w:rPr>
              <w:t>“</w:t>
            </w:r>
            <w:r>
              <w:rPr>
                <w:rFonts w:hint="eastAsia" w:ascii="Times New Roman" w:hAnsi="Times New Roman" w:cs="Times New Roman"/>
                <w:sz w:val="21"/>
                <w:szCs w:val="21"/>
              </w:rPr>
              <w:t>无废城市</w:t>
            </w:r>
            <w:r>
              <w:rPr>
                <w:rFonts w:ascii="Times New Roman" w:hAnsi="Times New Roman" w:cs="Times New Roman"/>
                <w:sz w:val="21"/>
                <w:szCs w:val="21"/>
              </w:rPr>
              <w:t>”</w:t>
            </w:r>
            <w:r>
              <w:rPr>
                <w:rFonts w:hint="eastAsia" w:ascii="Times New Roman" w:hAnsi="Times New Roman" w:cs="Times New Roman"/>
                <w:sz w:val="21"/>
                <w:szCs w:val="21"/>
              </w:rPr>
              <w:t>建设协调机制★</w:t>
            </w:r>
          </w:p>
        </w:tc>
        <w:tc>
          <w:tcPr>
            <w:tcW w:w="405"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rFonts w:ascii="Times New Roman" w:hAnsi="Times New Roman" w:cs="Times New Roman"/>
                <w:sz w:val="21"/>
                <w:szCs w:val="21"/>
              </w:rPr>
              <w:t>-</w:t>
            </w:r>
          </w:p>
        </w:tc>
        <w:tc>
          <w:tcPr>
            <w:tcW w:w="456"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rFonts w:hint="eastAsia" w:ascii="Times New Roman" w:hAnsi="Times New Roman" w:cs="Times New Roman"/>
                <w:sz w:val="21"/>
                <w:szCs w:val="21"/>
              </w:rPr>
              <w:t>尚未建立</w:t>
            </w:r>
          </w:p>
        </w:tc>
        <w:tc>
          <w:tcPr>
            <w:tcW w:w="456"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rFonts w:hint="eastAsia" w:ascii="Times New Roman" w:hAnsi="Times New Roman" w:cs="Times New Roman"/>
                <w:sz w:val="21"/>
                <w:szCs w:val="21"/>
              </w:rPr>
              <w:t>建立</w:t>
            </w:r>
          </w:p>
        </w:tc>
        <w:tc>
          <w:tcPr>
            <w:tcW w:w="506"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rFonts w:hint="eastAsia" w:ascii="Times New Roman" w:hAnsi="Times New Roman" w:cs="Times New Roman"/>
                <w:sz w:val="21"/>
                <w:szCs w:val="21"/>
              </w:rPr>
              <w:t>市</w:t>
            </w:r>
            <w:r>
              <w:rPr>
                <w:rFonts w:ascii="Times New Roman" w:hAnsi="Times New Roman" w:cs="Times New Roman"/>
                <w:sz w:val="21"/>
                <w:szCs w:val="21"/>
              </w:rPr>
              <w:t>“</w:t>
            </w:r>
            <w:r>
              <w:rPr>
                <w:rFonts w:hint="eastAsia" w:ascii="Times New Roman" w:hAnsi="Times New Roman" w:cs="Times New Roman"/>
                <w:sz w:val="21"/>
                <w:szCs w:val="21"/>
              </w:rPr>
              <w:t>无废城市</w:t>
            </w:r>
            <w:r>
              <w:rPr>
                <w:rFonts w:ascii="Times New Roman" w:hAnsi="Times New Roman" w:cs="Times New Roman"/>
                <w:sz w:val="21"/>
                <w:szCs w:val="21"/>
              </w:rPr>
              <w:t>”</w:t>
            </w:r>
            <w:r>
              <w:rPr>
                <w:rFonts w:hint="eastAsia" w:ascii="Times New Roman" w:hAnsi="Times New Roman" w:cs="Times New Roman"/>
                <w:sz w:val="21"/>
                <w:szCs w:val="21"/>
              </w:rPr>
              <w:t>建设工作领导小组各成员单位</w:t>
            </w:r>
          </w:p>
        </w:tc>
        <w:tc>
          <w:tcPr>
            <w:tcW w:w="1001" w:type="pct"/>
            <w:tcBorders>
              <w:tl2br w:val="nil"/>
              <w:tr2bl w:val="nil"/>
            </w:tcBorders>
            <w:noWrap w:val="0"/>
            <w:vAlign w:val="center"/>
          </w:tcPr>
          <w:p>
            <w:pPr>
              <w:pStyle w:val="7"/>
              <w:widowControl w:val="0"/>
              <w:adjustRightInd w:val="0"/>
              <w:snapToGrid w:val="0"/>
              <w:spacing w:before="0" w:beforeAutospacing="0" w:after="0" w:afterAutospacing="0" w:line="300" w:lineRule="exact"/>
              <w:jc w:val="both"/>
              <w:rPr>
                <w:rFonts w:hint="eastAsia" w:ascii="Times New Roman" w:hAnsi="Times New Roman" w:eastAsia="宋体" w:cs="Times New Roman"/>
                <w:sz w:val="21"/>
                <w:szCs w:val="21"/>
                <w:lang w:eastAsia="zh-CN"/>
              </w:rPr>
            </w:pPr>
            <w:r>
              <w:rPr>
                <w:rFonts w:hint="eastAsia" w:ascii="Times New Roman" w:hAnsi="Times New Roman" w:cs="Times New Roman"/>
                <w:sz w:val="21"/>
                <w:szCs w:val="21"/>
              </w:rPr>
              <w:t>协调沟通商定</w:t>
            </w:r>
            <w:r>
              <w:rPr>
                <w:rFonts w:hint="eastAsia" w:ascii="Times New Roman" w:hAnsi="Times New Roman" w:cs="Times New Roman"/>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82" w:hRule="atLeast"/>
          <w:jc w:val="center"/>
        </w:trPr>
        <w:tc>
          <w:tcPr>
            <w:tcW w:w="167" w:type="pct"/>
            <w:tcBorders>
              <w:tl2br w:val="nil"/>
              <w:tr2bl w:val="nil"/>
            </w:tcBorders>
            <w:noWrap w:val="0"/>
            <w:vAlign w:val="center"/>
          </w:tcPr>
          <w:p>
            <w:pPr>
              <w:pStyle w:val="7"/>
              <w:widowControl w:val="0"/>
              <w:numPr>
                <w:ilvl w:val="0"/>
                <w:numId w:val="1"/>
              </w:numPr>
              <w:tabs>
                <w:tab w:val="left" w:pos="210"/>
              </w:tabs>
              <w:adjustRightInd w:val="0"/>
              <w:snapToGrid w:val="0"/>
              <w:spacing w:before="0" w:beforeAutospacing="0" w:after="0" w:afterAutospacing="0" w:line="260" w:lineRule="exact"/>
              <w:rPr>
                <w:rFonts w:ascii="Times New Roman" w:hAnsi="Times New Roman" w:cs="Times New Roman"/>
                <w:sz w:val="21"/>
                <w:szCs w:val="21"/>
              </w:rPr>
            </w:pPr>
          </w:p>
        </w:tc>
        <w:tc>
          <w:tcPr>
            <w:tcW w:w="360" w:type="pct"/>
            <w:vMerge w:val="continue"/>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p>
        </w:tc>
        <w:tc>
          <w:tcPr>
            <w:tcW w:w="535" w:type="pct"/>
            <w:vMerge w:val="continue"/>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p>
        </w:tc>
        <w:tc>
          <w:tcPr>
            <w:tcW w:w="1114"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color w:val="000000"/>
                <w:sz w:val="21"/>
                <w:szCs w:val="21"/>
              </w:rPr>
            </w:pPr>
            <w:r>
              <w:rPr>
                <w:rFonts w:ascii="Times New Roman" w:hAnsi="Times New Roman" w:cs="Times New Roman"/>
                <w:color w:val="000000"/>
                <w:sz w:val="21"/>
                <w:szCs w:val="21"/>
              </w:rPr>
              <w:t>“</w:t>
            </w:r>
            <w:r>
              <w:rPr>
                <w:rFonts w:hint="eastAsia" w:ascii="Times New Roman" w:hAnsi="Times New Roman" w:cs="Times New Roman"/>
                <w:color w:val="000000"/>
                <w:sz w:val="21"/>
                <w:szCs w:val="21"/>
              </w:rPr>
              <w:t>无废城市</w:t>
            </w:r>
            <w:r>
              <w:rPr>
                <w:rFonts w:ascii="Times New Roman" w:hAnsi="Times New Roman" w:cs="Times New Roman"/>
                <w:color w:val="000000"/>
                <w:sz w:val="21"/>
                <w:szCs w:val="21"/>
              </w:rPr>
              <w:t>”</w:t>
            </w:r>
            <w:r>
              <w:rPr>
                <w:rFonts w:hint="eastAsia" w:ascii="Times New Roman" w:hAnsi="Times New Roman" w:cs="Times New Roman"/>
                <w:color w:val="000000"/>
                <w:sz w:val="21"/>
                <w:szCs w:val="21"/>
              </w:rPr>
              <w:t>建设成效纳入考核情况</w:t>
            </w:r>
          </w:p>
        </w:tc>
        <w:tc>
          <w:tcPr>
            <w:tcW w:w="405"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color w:val="000000"/>
                <w:sz w:val="21"/>
                <w:szCs w:val="21"/>
              </w:rPr>
            </w:pPr>
            <w:r>
              <w:rPr>
                <w:rFonts w:ascii="Times New Roman" w:hAnsi="Times New Roman" w:cs="Times New Roman"/>
                <w:color w:val="000000"/>
                <w:sz w:val="21"/>
                <w:szCs w:val="21"/>
              </w:rPr>
              <w:t>-</w:t>
            </w:r>
          </w:p>
        </w:tc>
        <w:tc>
          <w:tcPr>
            <w:tcW w:w="456"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color w:val="000000"/>
                <w:sz w:val="21"/>
                <w:szCs w:val="21"/>
              </w:rPr>
            </w:pPr>
            <w:r>
              <w:rPr>
                <w:rFonts w:ascii="Times New Roman" w:hAnsi="Times New Roman" w:cs="Times New Roman"/>
                <w:color w:val="000000"/>
                <w:sz w:val="21"/>
                <w:szCs w:val="21"/>
              </w:rPr>
              <w:t>/</w:t>
            </w:r>
          </w:p>
        </w:tc>
        <w:tc>
          <w:tcPr>
            <w:tcW w:w="456"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color w:val="000000"/>
                <w:sz w:val="21"/>
                <w:szCs w:val="21"/>
              </w:rPr>
            </w:pPr>
            <w:r>
              <w:rPr>
                <w:rFonts w:hint="eastAsia" w:ascii="Times New Roman" w:hAnsi="Times New Roman" w:cs="Times New Roman"/>
                <w:color w:val="000000"/>
                <w:sz w:val="21"/>
                <w:szCs w:val="21"/>
              </w:rPr>
              <w:t>纳入</w:t>
            </w:r>
          </w:p>
        </w:tc>
        <w:tc>
          <w:tcPr>
            <w:tcW w:w="506"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rFonts w:hint="eastAsia" w:ascii="Times New Roman" w:hAnsi="Times New Roman" w:cs="Times New Roman"/>
                <w:sz w:val="21"/>
                <w:szCs w:val="21"/>
              </w:rPr>
              <w:t>市委组织部、市委考核办</w:t>
            </w:r>
          </w:p>
        </w:tc>
        <w:tc>
          <w:tcPr>
            <w:tcW w:w="1001" w:type="pct"/>
            <w:tcBorders>
              <w:tl2br w:val="nil"/>
              <w:tr2bl w:val="nil"/>
            </w:tcBorders>
            <w:noWrap w:val="0"/>
            <w:vAlign w:val="center"/>
          </w:tcPr>
          <w:p>
            <w:pPr>
              <w:pStyle w:val="7"/>
              <w:widowControl w:val="0"/>
              <w:adjustRightInd w:val="0"/>
              <w:snapToGrid w:val="0"/>
              <w:spacing w:before="0" w:beforeAutospacing="0" w:after="0" w:afterAutospacing="0" w:line="300" w:lineRule="exact"/>
              <w:jc w:val="both"/>
              <w:rPr>
                <w:rFonts w:hint="eastAsia" w:ascii="Times New Roman" w:hAnsi="Times New Roman" w:eastAsia="宋体" w:cs="Times New Roman"/>
                <w:sz w:val="21"/>
                <w:szCs w:val="21"/>
                <w:lang w:eastAsia="zh-CN"/>
              </w:rPr>
            </w:pPr>
            <w:r>
              <w:rPr>
                <w:rFonts w:hint="eastAsia" w:ascii="Times New Roman" w:hAnsi="Times New Roman" w:cs="Times New Roman"/>
                <w:sz w:val="21"/>
                <w:szCs w:val="21"/>
              </w:rPr>
              <w:t>协调沟通商定</w:t>
            </w:r>
            <w:r>
              <w:rPr>
                <w:rFonts w:hint="eastAsia" w:ascii="Times New Roman" w:hAnsi="Times New Roman" w:cs="Times New Roman"/>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82" w:hRule="atLeast"/>
          <w:jc w:val="center"/>
        </w:trPr>
        <w:tc>
          <w:tcPr>
            <w:tcW w:w="167" w:type="pct"/>
            <w:tcBorders>
              <w:tl2br w:val="nil"/>
              <w:tr2bl w:val="nil"/>
            </w:tcBorders>
            <w:noWrap w:val="0"/>
            <w:vAlign w:val="center"/>
          </w:tcPr>
          <w:p>
            <w:pPr>
              <w:pStyle w:val="7"/>
              <w:widowControl w:val="0"/>
              <w:numPr>
                <w:ilvl w:val="0"/>
                <w:numId w:val="1"/>
              </w:numPr>
              <w:tabs>
                <w:tab w:val="left" w:pos="210"/>
              </w:tabs>
              <w:adjustRightInd w:val="0"/>
              <w:snapToGrid w:val="0"/>
              <w:spacing w:before="0" w:beforeAutospacing="0" w:after="0" w:afterAutospacing="0" w:line="260" w:lineRule="exact"/>
              <w:rPr>
                <w:rFonts w:ascii="Times New Roman" w:hAnsi="Times New Roman" w:cs="Times New Roman"/>
                <w:sz w:val="21"/>
                <w:szCs w:val="21"/>
              </w:rPr>
            </w:pPr>
          </w:p>
        </w:tc>
        <w:tc>
          <w:tcPr>
            <w:tcW w:w="360" w:type="pct"/>
            <w:vMerge w:val="continue"/>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p>
        </w:tc>
        <w:tc>
          <w:tcPr>
            <w:tcW w:w="535" w:type="pct"/>
            <w:vMerge w:val="continue"/>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p>
        </w:tc>
        <w:tc>
          <w:tcPr>
            <w:tcW w:w="1114"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color w:val="000000"/>
                <w:sz w:val="21"/>
                <w:szCs w:val="21"/>
              </w:rPr>
            </w:pPr>
            <w:r>
              <w:rPr>
                <w:rFonts w:hint="eastAsia" w:ascii="Times New Roman" w:hAnsi="Times New Roman" w:cs="Times New Roman"/>
                <w:color w:val="000000"/>
                <w:sz w:val="21"/>
                <w:szCs w:val="21"/>
              </w:rPr>
              <w:t>开展</w:t>
            </w:r>
            <w:r>
              <w:rPr>
                <w:rFonts w:ascii="Times New Roman" w:hAnsi="Times New Roman" w:cs="Times New Roman"/>
                <w:color w:val="000000"/>
                <w:sz w:val="21"/>
                <w:szCs w:val="21"/>
              </w:rPr>
              <w:t>“</w:t>
            </w:r>
            <w:r>
              <w:rPr>
                <w:rFonts w:hint="eastAsia" w:ascii="Times New Roman" w:hAnsi="Times New Roman" w:cs="Times New Roman"/>
                <w:color w:val="000000"/>
                <w:sz w:val="21"/>
                <w:szCs w:val="21"/>
              </w:rPr>
              <w:t>无废城市细胞</w:t>
            </w:r>
            <w:r>
              <w:rPr>
                <w:rFonts w:ascii="Times New Roman" w:hAnsi="Times New Roman" w:cs="Times New Roman"/>
                <w:color w:val="000000"/>
                <w:sz w:val="21"/>
                <w:szCs w:val="21"/>
              </w:rPr>
              <w:t>”</w:t>
            </w:r>
            <w:r>
              <w:rPr>
                <w:rFonts w:hint="eastAsia" w:ascii="Times New Roman" w:hAnsi="Times New Roman" w:cs="Times New Roman"/>
                <w:color w:val="000000"/>
                <w:sz w:val="21"/>
                <w:szCs w:val="21"/>
              </w:rPr>
              <w:t>建设的单位数量（机关、企事业单位、饭店、商场、集贸市场、</w:t>
            </w:r>
            <w:r>
              <w:rPr>
                <w:rFonts w:hint="eastAsia" w:ascii="Times New Roman" w:hAnsi="Times New Roman" w:cs="Times New Roman"/>
                <w:color w:val="000000"/>
                <w:sz w:val="21"/>
                <w:szCs w:val="21"/>
                <w:lang w:eastAsia="zh-CN"/>
              </w:rPr>
              <w:t>社区</w:t>
            </w:r>
            <w:r>
              <w:rPr>
                <w:rFonts w:hint="eastAsia" w:ascii="Times New Roman" w:hAnsi="Times New Roman" w:cs="Times New Roman"/>
                <w:color w:val="000000"/>
                <w:sz w:val="21"/>
                <w:szCs w:val="21"/>
              </w:rPr>
              <w:t>、村镇）</w:t>
            </w:r>
          </w:p>
        </w:tc>
        <w:tc>
          <w:tcPr>
            <w:tcW w:w="405"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color w:val="000000"/>
                <w:sz w:val="21"/>
                <w:szCs w:val="21"/>
              </w:rPr>
            </w:pPr>
            <w:r>
              <w:rPr>
                <w:rFonts w:hint="eastAsia" w:ascii="Times New Roman" w:hAnsi="Times New Roman" w:cs="Times New Roman"/>
                <w:color w:val="000000"/>
                <w:sz w:val="21"/>
                <w:szCs w:val="21"/>
              </w:rPr>
              <w:t>个</w:t>
            </w:r>
          </w:p>
        </w:tc>
        <w:tc>
          <w:tcPr>
            <w:tcW w:w="456"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color w:val="000000"/>
                <w:sz w:val="21"/>
                <w:szCs w:val="21"/>
              </w:rPr>
            </w:pPr>
            <w:r>
              <w:rPr>
                <w:rFonts w:ascii="Times New Roman" w:hAnsi="Times New Roman" w:cs="Times New Roman"/>
                <w:color w:val="000000"/>
                <w:sz w:val="21"/>
                <w:szCs w:val="21"/>
              </w:rPr>
              <w:t>0</w:t>
            </w:r>
          </w:p>
        </w:tc>
        <w:tc>
          <w:tcPr>
            <w:tcW w:w="456"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color w:val="000000"/>
                <w:sz w:val="21"/>
                <w:szCs w:val="21"/>
              </w:rPr>
            </w:pPr>
            <w:r>
              <w:rPr>
                <w:rFonts w:ascii="Times New Roman" w:hAnsi="Times New Roman" w:cs="Times New Roman"/>
                <w:color w:val="000000"/>
                <w:sz w:val="21"/>
                <w:szCs w:val="21"/>
              </w:rPr>
              <w:t>80</w:t>
            </w:r>
          </w:p>
        </w:tc>
        <w:tc>
          <w:tcPr>
            <w:tcW w:w="506"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rFonts w:hint="eastAsia" w:ascii="Times New Roman" w:hAnsi="Times New Roman" w:cs="Times New Roman"/>
                <w:sz w:val="21"/>
                <w:szCs w:val="21"/>
              </w:rPr>
              <w:t>市</w:t>
            </w:r>
            <w:r>
              <w:rPr>
                <w:rFonts w:ascii="Times New Roman" w:hAnsi="Times New Roman" w:cs="Times New Roman"/>
                <w:sz w:val="21"/>
                <w:szCs w:val="21"/>
              </w:rPr>
              <w:t>“</w:t>
            </w:r>
            <w:r>
              <w:rPr>
                <w:rFonts w:hint="eastAsia" w:ascii="Times New Roman" w:hAnsi="Times New Roman" w:cs="Times New Roman"/>
                <w:sz w:val="21"/>
                <w:szCs w:val="21"/>
              </w:rPr>
              <w:t>无废城市</w:t>
            </w:r>
            <w:r>
              <w:rPr>
                <w:rFonts w:ascii="Times New Roman" w:hAnsi="Times New Roman" w:cs="Times New Roman"/>
                <w:sz w:val="21"/>
                <w:szCs w:val="21"/>
              </w:rPr>
              <w:t>”</w:t>
            </w:r>
            <w:r>
              <w:rPr>
                <w:rFonts w:hint="eastAsia" w:ascii="Times New Roman" w:hAnsi="Times New Roman" w:cs="Times New Roman"/>
                <w:sz w:val="21"/>
                <w:szCs w:val="21"/>
              </w:rPr>
              <w:t>建设工作领导小组各成员单位</w:t>
            </w:r>
          </w:p>
        </w:tc>
        <w:tc>
          <w:tcPr>
            <w:tcW w:w="1001" w:type="pct"/>
            <w:tcBorders>
              <w:tl2br w:val="nil"/>
              <w:tr2bl w:val="nil"/>
            </w:tcBorders>
            <w:noWrap w:val="0"/>
            <w:vAlign w:val="center"/>
          </w:tcPr>
          <w:p>
            <w:pPr>
              <w:pStyle w:val="7"/>
              <w:widowControl w:val="0"/>
              <w:adjustRightInd w:val="0"/>
              <w:snapToGrid w:val="0"/>
              <w:spacing w:before="0" w:beforeAutospacing="0" w:after="0" w:afterAutospacing="0" w:line="300" w:lineRule="exact"/>
              <w:jc w:val="both"/>
              <w:rPr>
                <w:rFonts w:hint="eastAsia" w:ascii="Times New Roman" w:hAnsi="Times New Roman" w:eastAsia="宋体" w:cs="Times New Roman"/>
                <w:sz w:val="21"/>
                <w:szCs w:val="21"/>
                <w:lang w:eastAsia="zh-CN"/>
              </w:rPr>
            </w:pPr>
            <w:r>
              <w:rPr>
                <w:rFonts w:hint="eastAsia" w:ascii="Times New Roman" w:hAnsi="Times New Roman" w:cs="Times New Roman"/>
                <w:sz w:val="21"/>
                <w:szCs w:val="21"/>
              </w:rPr>
              <w:t>协调沟通商定</w:t>
            </w:r>
            <w:r>
              <w:rPr>
                <w:rFonts w:hint="eastAsia" w:ascii="Times New Roman" w:hAnsi="Times New Roman" w:cs="Times New Roman"/>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82" w:hRule="atLeast"/>
          <w:jc w:val="center"/>
        </w:trPr>
        <w:tc>
          <w:tcPr>
            <w:tcW w:w="167" w:type="pct"/>
            <w:tcBorders>
              <w:tl2br w:val="nil"/>
              <w:tr2bl w:val="nil"/>
            </w:tcBorders>
            <w:noWrap w:val="0"/>
            <w:vAlign w:val="center"/>
          </w:tcPr>
          <w:p>
            <w:pPr>
              <w:pStyle w:val="7"/>
              <w:widowControl w:val="0"/>
              <w:numPr>
                <w:ilvl w:val="0"/>
                <w:numId w:val="1"/>
              </w:numPr>
              <w:tabs>
                <w:tab w:val="left" w:pos="210"/>
              </w:tabs>
              <w:adjustRightInd w:val="0"/>
              <w:snapToGrid w:val="0"/>
              <w:spacing w:before="0" w:beforeAutospacing="0" w:after="0" w:afterAutospacing="0" w:line="260" w:lineRule="exact"/>
              <w:rPr>
                <w:rFonts w:ascii="Times New Roman" w:hAnsi="Times New Roman" w:cs="Times New Roman"/>
                <w:sz w:val="21"/>
                <w:szCs w:val="21"/>
              </w:rPr>
            </w:pPr>
          </w:p>
        </w:tc>
        <w:tc>
          <w:tcPr>
            <w:tcW w:w="360" w:type="pct"/>
            <w:vMerge w:val="continue"/>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p>
        </w:tc>
        <w:tc>
          <w:tcPr>
            <w:tcW w:w="535" w:type="pct"/>
            <w:vMerge w:val="restar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rFonts w:hint="eastAsia" w:ascii="Times New Roman" w:hAnsi="Times New Roman" w:cs="Times New Roman"/>
                <w:sz w:val="21"/>
                <w:szCs w:val="21"/>
              </w:rPr>
              <w:t>市场体系建设</w:t>
            </w:r>
          </w:p>
        </w:tc>
        <w:tc>
          <w:tcPr>
            <w:tcW w:w="1114"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pacing w:val="-4"/>
                <w:sz w:val="21"/>
                <w:szCs w:val="21"/>
              </w:rPr>
            </w:pPr>
            <w:r>
              <w:rPr>
                <w:rFonts w:ascii="Times New Roman" w:hAnsi="Times New Roman" w:cs="Times New Roman"/>
                <w:spacing w:val="-4"/>
                <w:sz w:val="21"/>
                <w:szCs w:val="21"/>
              </w:rPr>
              <w:t>“</w:t>
            </w:r>
            <w:r>
              <w:rPr>
                <w:rFonts w:hint="eastAsia" w:ascii="Times New Roman" w:hAnsi="Times New Roman" w:cs="Times New Roman"/>
                <w:spacing w:val="-4"/>
                <w:sz w:val="21"/>
                <w:szCs w:val="21"/>
              </w:rPr>
              <w:t>无废城市</w:t>
            </w:r>
            <w:r>
              <w:rPr>
                <w:rFonts w:ascii="Times New Roman" w:hAnsi="Times New Roman" w:cs="Times New Roman"/>
                <w:spacing w:val="-4"/>
                <w:sz w:val="21"/>
                <w:szCs w:val="21"/>
              </w:rPr>
              <w:t>”</w:t>
            </w:r>
            <w:r>
              <w:rPr>
                <w:rFonts w:hint="eastAsia" w:ascii="Times New Roman" w:hAnsi="Times New Roman" w:cs="Times New Roman"/>
                <w:spacing w:val="-4"/>
                <w:sz w:val="21"/>
                <w:szCs w:val="21"/>
              </w:rPr>
              <w:t>建设项目投资总额★</w:t>
            </w:r>
          </w:p>
        </w:tc>
        <w:tc>
          <w:tcPr>
            <w:tcW w:w="405"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rFonts w:hint="eastAsia" w:ascii="Times New Roman" w:hAnsi="Times New Roman" w:cs="Times New Roman"/>
                <w:sz w:val="21"/>
                <w:szCs w:val="21"/>
              </w:rPr>
              <w:t>亿元</w:t>
            </w:r>
          </w:p>
        </w:tc>
        <w:tc>
          <w:tcPr>
            <w:tcW w:w="456"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b/>
                <w:bCs/>
                <w:sz w:val="21"/>
                <w:szCs w:val="21"/>
              </w:rPr>
            </w:pPr>
            <w:r>
              <w:rPr>
                <w:rFonts w:ascii="Times New Roman" w:hAnsi="Times New Roman" w:cs="Times New Roman"/>
                <w:sz w:val="21"/>
                <w:szCs w:val="21"/>
              </w:rPr>
              <w:t>/</w:t>
            </w:r>
          </w:p>
        </w:tc>
        <w:tc>
          <w:tcPr>
            <w:tcW w:w="456"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rFonts w:ascii="Times New Roman" w:hAnsi="Times New Roman" w:cs="Times New Roman"/>
                <w:sz w:val="21"/>
                <w:szCs w:val="21"/>
              </w:rPr>
              <w:t>10</w:t>
            </w:r>
          </w:p>
        </w:tc>
        <w:tc>
          <w:tcPr>
            <w:tcW w:w="506"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rFonts w:hint="eastAsia" w:ascii="Times New Roman" w:hAnsi="Times New Roman" w:cs="Times New Roman"/>
                <w:sz w:val="21"/>
                <w:szCs w:val="21"/>
              </w:rPr>
              <w:t>市</w:t>
            </w:r>
            <w:r>
              <w:rPr>
                <w:rFonts w:ascii="Times New Roman" w:hAnsi="Times New Roman" w:cs="Times New Roman"/>
                <w:sz w:val="21"/>
                <w:szCs w:val="21"/>
              </w:rPr>
              <w:t>“</w:t>
            </w:r>
            <w:r>
              <w:rPr>
                <w:rFonts w:hint="eastAsia" w:ascii="Times New Roman" w:hAnsi="Times New Roman" w:cs="Times New Roman"/>
                <w:sz w:val="21"/>
                <w:szCs w:val="21"/>
              </w:rPr>
              <w:t>无废城市</w:t>
            </w:r>
            <w:r>
              <w:rPr>
                <w:rFonts w:ascii="Times New Roman" w:hAnsi="Times New Roman" w:cs="Times New Roman"/>
                <w:sz w:val="21"/>
                <w:szCs w:val="21"/>
              </w:rPr>
              <w:t>”</w:t>
            </w:r>
            <w:r>
              <w:rPr>
                <w:rFonts w:hint="eastAsia" w:ascii="Times New Roman" w:hAnsi="Times New Roman" w:cs="Times New Roman"/>
                <w:sz w:val="21"/>
                <w:szCs w:val="21"/>
              </w:rPr>
              <w:t>建设工作领导小组各成员单位</w:t>
            </w:r>
          </w:p>
        </w:tc>
        <w:tc>
          <w:tcPr>
            <w:tcW w:w="1001" w:type="pct"/>
            <w:tcBorders>
              <w:tl2br w:val="nil"/>
              <w:tr2bl w:val="nil"/>
            </w:tcBorders>
            <w:noWrap w:val="0"/>
            <w:vAlign w:val="center"/>
          </w:tcPr>
          <w:p>
            <w:pPr>
              <w:pStyle w:val="7"/>
              <w:widowControl w:val="0"/>
              <w:adjustRightInd w:val="0"/>
              <w:snapToGrid w:val="0"/>
              <w:spacing w:before="0" w:beforeAutospacing="0" w:after="0" w:afterAutospacing="0" w:line="300" w:lineRule="exact"/>
              <w:jc w:val="both"/>
              <w:rPr>
                <w:rFonts w:hint="eastAsia" w:ascii="Times New Roman" w:hAnsi="Times New Roman" w:eastAsia="宋体" w:cs="Times New Roman"/>
                <w:sz w:val="21"/>
                <w:szCs w:val="21"/>
                <w:lang w:eastAsia="zh-CN"/>
              </w:rPr>
            </w:pPr>
            <w:r>
              <w:rPr>
                <w:rFonts w:hint="eastAsia" w:ascii="Times New Roman" w:hAnsi="Times New Roman" w:cs="Times New Roman"/>
                <w:sz w:val="21"/>
                <w:szCs w:val="21"/>
              </w:rPr>
              <w:t>根据项目投资金额确定</w:t>
            </w:r>
            <w:r>
              <w:rPr>
                <w:rFonts w:hint="eastAsia" w:ascii="Times New Roman" w:hAnsi="Times New Roman" w:cs="Times New Roman"/>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82" w:hRule="atLeast"/>
          <w:jc w:val="center"/>
        </w:trPr>
        <w:tc>
          <w:tcPr>
            <w:tcW w:w="167" w:type="pct"/>
            <w:tcBorders>
              <w:tl2br w:val="nil"/>
              <w:tr2bl w:val="nil"/>
            </w:tcBorders>
            <w:noWrap w:val="0"/>
            <w:vAlign w:val="center"/>
          </w:tcPr>
          <w:p>
            <w:pPr>
              <w:pStyle w:val="7"/>
              <w:widowControl w:val="0"/>
              <w:numPr>
                <w:ilvl w:val="0"/>
                <w:numId w:val="1"/>
              </w:numPr>
              <w:tabs>
                <w:tab w:val="left" w:pos="210"/>
              </w:tabs>
              <w:adjustRightInd w:val="0"/>
              <w:snapToGrid w:val="0"/>
              <w:spacing w:before="0" w:beforeAutospacing="0" w:after="0" w:afterAutospacing="0" w:line="260" w:lineRule="exact"/>
              <w:rPr>
                <w:rFonts w:ascii="Times New Roman" w:hAnsi="Times New Roman" w:cs="Times New Roman"/>
                <w:sz w:val="21"/>
                <w:szCs w:val="21"/>
              </w:rPr>
            </w:pPr>
          </w:p>
        </w:tc>
        <w:tc>
          <w:tcPr>
            <w:tcW w:w="360" w:type="pct"/>
            <w:vMerge w:val="continue"/>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p>
        </w:tc>
        <w:tc>
          <w:tcPr>
            <w:tcW w:w="535" w:type="pct"/>
            <w:vMerge w:val="continue"/>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p>
        </w:tc>
        <w:tc>
          <w:tcPr>
            <w:tcW w:w="1114"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pacing w:val="-4"/>
                <w:sz w:val="21"/>
                <w:szCs w:val="21"/>
              </w:rPr>
            </w:pPr>
            <w:r>
              <w:rPr>
                <w:rFonts w:hint="eastAsia" w:ascii="Times New Roman" w:hAnsi="Times New Roman" w:cs="Times New Roman"/>
                <w:spacing w:val="-4"/>
                <w:sz w:val="21"/>
                <w:szCs w:val="21"/>
              </w:rPr>
              <w:t>纳入企业环境信用评价范围的固体废物相关企业数量</w:t>
            </w:r>
          </w:p>
        </w:tc>
        <w:tc>
          <w:tcPr>
            <w:tcW w:w="405" w:type="pct"/>
            <w:tcBorders>
              <w:tl2br w:val="nil"/>
              <w:tr2bl w:val="nil"/>
            </w:tcBorders>
            <w:noWrap w:val="0"/>
            <w:vAlign w:val="center"/>
          </w:tcPr>
          <w:p>
            <w:pPr>
              <w:adjustRightInd w:val="0"/>
              <w:snapToGrid w:val="0"/>
              <w:spacing w:line="300" w:lineRule="exact"/>
              <w:jc w:val="center"/>
              <w:rPr>
                <w:rFonts w:ascii="Times New Roman" w:hAnsi="Times New Roman" w:eastAsia="宋体" w:cs="Times New Roman"/>
                <w:spacing w:val="-4"/>
                <w:kern w:val="0"/>
                <w:szCs w:val="21"/>
              </w:rPr>
            </w:pPr>
            <w:r>
              <w:rPr>
                <w:rFonts w:hint="eastAsia" w:ascii="Times New Roman" w:hAnsi="Times New Roman" w:eastAsia="宋体" w:cs="Times New Roman"/>
                <w:spacing w:val="-4"/>
                <w:kern w:val="0"/>
                <w:szCs w:val="21"/>
              </w:rPr>
              <w:t>个</w:t>
            </w:r>
          </w:p>
        </w:tc>
        <w:tc>
          <w:tcPr>
            <w:tcW w:w="456"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pacing w:val="-4"/>
                <w:sz w:val="21"/>
                <w:szCs w:val="21"/>
              </w:rPr>
            </w:pPr>
            <w:r>
              <w:rPr>
                <w:rFonts w:ascii="Times New Roman" w:hAnsi="Times New Roman" w:cs="Times New Roman"/>
                <w:spacing w:val="-4"/>
                <w:sz w:val="21"/>
                <w:szCs w:val="21"/>
              </w:rPr>
              <w:t>-</w:t>
            </w:r>
          </w:p>
        </w:tc>
        <w:tc>
          <w:tcPr>
            <w:tcW w:w="456"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rFonts w:ascii="Times New Roman" w:hAnsi="Times New Roman" w:cs="Times New Roman"/>
                <w:sz w:val="21"/>
                <w:szCs w:val="21"/>
              </w:rPr>
              <w:t>20</w:t>
            </w:r>
          </w:p>
        </w:tc>
        <w:tc>
          <w:tcPr>
            <w:tcW w:w="506"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rFonts w:hint="eastAsia" w:ascii="Times New Roman" w:hAnsi="Times New Roman" w:cs="Times New Roman"/>
                <w:sz w:val="21"/>
                <w:szCs w:val="21"/>
              </w:rPr>
              <w:t>市生态环境局</w:t>
            </w:r>
          </w:p>
        </w:tc>
        <w:tc>
          <w:tcPr>
            <w:tcW w:w="1001" w:type="pct"/>
            <w:tcBorders>
              <w:tl2br w:val="nil"/>
              <w:tr2bl w:val="nil"/>
            </w:tcBorders>
            <w:noWrap w:val="0"/>
            <w:vAlign w:val="center"/>
          </w:tcPr>
          <w:p>
            <w:pPr>
              <w:pStyle w:val="7"/>
              <w:widowControl w:val="0"/>
              <w:adjustRightInd w:val="0"/>
              <w:snapToGrid w:val="0"/>
              <w:spacing w:before="0" w:beforeAutospacing="0" w:after="0" w:afterAutospacing="0" w:line="300" w:lineRule="exact"/>
              <w:jc w:val="both"/>
              <w:rPr>
                <w:rFonts w:hint="eastAsia" w:ascii="Times New Roman" w:hAnsi="Times New Roman" w:eastAsia="宋体" w:cs="Times New Roman"/>
                <w:sz w:val="21"/>
                <w:szCs w:val="21"/>
                <w:lang w:eastAsia="zh-CN"/>
              </w:rPr>
            </w:pPr>
            <w:r>
              <w:rPr>
                <w:rFonts w:hint="eastAsia" w:ascii="Times New Roman" w:hAnsi="Times New Roman" w:cs="Times New Roman"/>
                <w:sz w:val="21"/>
                <w:szCs w:val="21"/>
              </w:rPr>
              <w:t>根据全市一般工业固废和危险废物重点产生单位和经营单位数量确定</w:t>
            </w:r>
            <w:r>
              <w:rPr>
                <w:rFonts w:hint="eastAsia" w:ascii="Times New Roman" w:hAnsi="Times New Roman" w:cs="Times New Roman"/>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82" w:hRule="atLeast"/>
          <w:jc w:val="center"/>
        </w:trPr>
        <w:tc>
          <w:tcPr>
            <w:tcW w:w="167" w:type="pct"/>
            <w:tcBorders>
              <w:tl2br w:val="nil"/>
              <w:tr2bl w:val="nil"/>
            </w:tcBorders>
            <w:noWrap w:val="0"/>
            <w:vAlign w:val="center"/>
          </w:tcPr>
          <w:p>
            <w:pPr>
              <w:pStyle w:val="7"/>
              <w:widowControl w:val="0"/>
              <w:numPr>
                <w:ilvl w:val="0"/>
                <w:numId w:val="1"/>
              </w:numPr>
              <w:tabs>
                <w:tab w:val="left" w:pos="210"/>
              </w:tabs>
              <w:adjustRightInd w:val="0"/>
              <w:snapToGrid w:val="0"/>
              <w:spacing w:before="0" w:beforeAutospacing="0" w:after="0" w:afterAutospacing="0" w:line="260" w:lineRule="exact"/>
              <w:rPr>
                <w:rFonts w:ascii="Times New Roman" w:hAnsi="Times New Roman" w:cs="Times New Roman"/>
                <w:sz w:val="21"/>
                <w:szCs w:val="21"/>
              </w:rPr>
            </w:pPr>
          </w:p>
        </w:tc>
        <w:tc>
          <w:tcPr>
            <w:tcW w:w="360" w:type="pct"/>
            <w:vMerge w:val="continue"/>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p>
        </w:tc>
        <w:tc>
          <w:tcPr>
            <w:tcW w:w="535" w:type="pct"/>
            <w:vMerge w:val="continue"/>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p>
        </w:tc>
        <w:tc>
          <w:tcPr>
            <w:tcW w:w="1114"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rFonts w:hint="eastAsia" w:ascii="Times New Roman" w:hAnsi="Times New Roman" w:cs="Times New Roman"/>
                <w:spacing w:val="-6"/>
                <w:sz w:val="21"/>
                <w:szCs w:val="21"/>
              </w:rPr>
              <w:t>危险废物经营单位环境污染责任保险覆盖率</w:t>
            </w:r>
          </w:p>
        </w:tc>
        <w:tc>
          <w:tcPr>
            <w:tcW w:w="405" w:type="pct"/>
            <w:tcBorders>
              <w:tl2br w:val="nil"/>
              <w:tr2bl w:val="nil"/>
            </w:tcBorders>
            <w:noWrap w:val="0"/>
            <w:vAlign w:val="center"/>
          </w:tcPr>
          <w:p>
            <w:pPr>
              <w:adjustRightInd w:val="0"/>
              <w:snapToGrid w:val="0"/>
              <w:spacing w:line="300" w:lineRule="exact"/>
              <w:jc w:val="center"/>
              <w:rPr>
                <w:rFonts w:ascii="Times New Roman" w:hAnsi="Times New Roman" w:cs="Times New Roman"/>
                <w:szCs w:val="21"/>
              </w:rPr>
            </w:pPr>
            <w:r>
              <w:rPr>
                <w:rFonts w:ascii="Times New Roman" w:hAnsi="Times New Roman" w:cs="Times New Roman"/>
                <w:szCs w:val="21"/>
              </w:rPr>
              <w:t>%</w:t>
            </w:r>
          </w:p>
        </w:tc>
        <w:tc>
          <w:tcPr>
            <w:tcW w:w="456"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p>
        </w:tc>
        <w:tc>
          <w:tcPr>
            <w:tcW w:w="456"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rFonts w:hint="eastAsia" w:ascii="Times New Roman" w:hAnsi="Times New Roman" w:cs="Times New Roman"/>
                <w:sz w:val="21"/>
                <w:szCs w:val="21"/>
              </w:rPr>
              <w:t>1</w:t>
            </w:r>
            <w:r>
              <w:rPr>
                <w:rFonts w:ascii="Times New Roman" w:hAnsi="Times New Roman" w:cs="Times New Roman"/>
                <w:sz w:val="21"/>
                <w:szCs w:val="21"/>
              </w:rPr>
              <w:t>00</w:t>
            </w:r>
          </w:p>
        </w:tc>
        <w:tc>
          <w:tcPr>
            <w:tcW w:w="506"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rFonts w:hint="eastAsia" w:ascii="Times New Roman" w:hAnsi="Times New Roman" w:cs="Times New Roman"/>
                <w:sz w:val="21"/>
                <w:szCs w:val="21"/>
              </w:rPr>
              <w:t>市生态环境局</w:t>
            </w:r>
          </w:p>
        </w:tc>
        <w:tc>
          <w:tcPr>
            <w:tcW w:w="1001" w:type="pct"/>
            <w:tcBorders>
              <w:tl2br w:val="nil"/>
              <w:tr2bl w:val="nil"/>
            </w:tcBorders>
            <w:noWrap w:val="0"/>
            <w:vAlign w:val="center"/>
          </w:tcPr>
          <w:p>
            <w:pPr>
              <w:pStyle w:val="7"/>
              <w:widowControl w:val="0"/>
              <w:adjustRightInd w:val="0"/>
              <w:snapToGrid w:val="0"/>
              <w:spacing w:before="0" w:beforeAutospacing="0" w:after="0" w:afterAutospacing="0" w:line="300" w:lineRule="exact"/>
              <w:jc w:val="both"/>
              <w:rPr>
                <w:rFonts w:hint="eastAsia" w:ascii="Times New Roman" w:hAnsi="Times New Roman" w:eastAsia="宋体" w:cs="Times New Roman"/>
                <w:sz w:val="21"/>
                <w:szCs w:val="21"/>
                <w:lang w:eastAsia="zh-CN"/>
              </w:rPr>
            </w:pPr>
            <w:r>
              <w:rPr>
                <w:rFonts w:hint="eastAsia" w:ascii="Times New Roman" w:hAnsi="Times New Roman" w:cs="Times New Roman"/>
                <w:sz w:val="21"/>
                <w:szCs w:val="21"/>
              </w:rPr>
              <w:t>根据新《固废法》要求确定</w:t>
            </w:r>
            <w:r>
              <w:rPr>
                <w:rFonts w:hint="eastAsia" w:ascii="Times New Roman" w:hAnsi="Times New Roman" w:cs="Times New Roman"/>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82" w:hRule="atLeast"/>
          <w:jc w:val="center"/>
        </w:trPr>
        <w:tc>
          <w:tcPr>
            <w:tcW w:w="167" w:type="pct"/>
            <w:tcBorders>
              <w:tl2br w:val="nil"/>
              <w:tr2bl w:val="nil"/>
            </w:tcBorders>
            <w:noWrap w:val="0"/>
            <w:vAlign w:val="center"/>
          </w:tcPr>
          <w:p>
            <w:pPr>
              <w:pStyle w:val="7"/>
              <w:widowControl w:val="0"/>
              <w:numPr>
                <w:ilvl w:val="0"/>
                <w:numId w:val="1"/>
              </w:numPr>
              <w:tabs>
                <w:tab w:val="left" w:pos="210"/>
              </w:tabs>
              <w:adjustRightInd w:val="0"/>
              <w:snapToGrid w:val="0"/>
              <w:spacing w:before="0" w:beforeAutospacing="0" w:after="0" w:afterAutospacing="0" w:line="260" w:lineRule="exact"/>
              <w:rPr>
                <w:rFonts w:ascii="Times New Roman" w:hAnsi="Times New Roman" w:cs="Times New Roman"/>
                <w:sz w:val="21"/>
                <w:szCs w:val="21"/>
              </w:rPr>
            </w:pPr>
          </w:p>
        </w:tc>
        <w:tc>
          <w:tcPr>
            <w:tcW w:w="360" w:type="pct"/>
            <w:vMerge w:val="continue"/>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p>
        </w:tc>
        <w:tc>
          <w:tcPr>
            <w:tcW w:w="535"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rFonts w:hint="eastAsia" w:ascii="Times New Roman" w:hAnsi="Times New Roman" w:cs="Times New Roman"/>
                <w:sz w:val="21"/>
                <w:szCs w:val="21"/>
              </w:rPr>
              <w:t>技术体系建设</w:t>
            </w:r>
          </w:p>
        </w:tc>
        <w:tc>
          <w:tcPr>
            <w:tcW w:w="1114"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rFonts w:hint="eastAsia" w:ascii="Times New Roman" w:hAnsi="Times New Roman" w:cs="Times New Roman"/>
                <w:sz w:val="21"/>
                <w:szCs w:val="21"/>
              </w:rPr>
              <w:t>固体废物减量化、资源化、无害化相关的工艺、技术、设备等示范项目</w:t>
            </w:r>
          </w:p>
        </w:tc>
        <w:tc>
          <w:tcPr>
            <w:tcW w:w="405"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rFonts w:hint="eastAsia" w:ascii="Times New Roman" w:hAnsi="Times New Roman" w:cs="Times New Roman"/>
                <w:sz w:val="21"/>
                <w:szCs w:val="21"/>
              </w:rPr>
              <w:t>个</w:t>
            </w:r>
          </w:p>
        </w:tc>
        <w:tc>
          <w:tcPr>
            <w:tcW w:w="456"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rFonts w:ascii="Times New Roman" w:hAnsi="Times New Roman" w:cs="Times New Roman"/>
                <w:sz w:val="21"/>
                <w:szCs w:val="21"/>
              </w:rPr>
              <w:t>/</w:t>
            </w:r>
          </w:p>
        </w:tc>
        <w:tc>
          <w:tcPr>
            <w:tcW w:w="456"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rFonts w:ascii="Times New Roman" w:hAnsi="Times New Roman" w:cs="Times New Roman"/>
                <w:sz w:val="21"/>
                <w:szCs w:val="21"/>
              </w:rPr>
              <w:t>1</w:t>
            </w:r>
          </w:p>
        </w:tc>
        <w:tc>
          <w:tcPr>
            <w:tcW w:w="506"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rFonts w:hint="eastAsia" w:ascii="Times New Roman" w:hAnsi="Times New Roman" w:cs="Times New Roman"/>
                <w:sz w:val="21"/>
                <w:szCs w:val="21"/>
              </w:rPr>
              <w:t>市科技局、</w:t>
            </w:r>
            <w:r>
              <w:rPr>
                <w:rFonts w:hint="eastAsia" w:ascii="Times New Roman" w:hAnsi="Times New Roman" w:cs="Times New Roman"/>
                <w:sz w:val="21"/>
                <w:szCs w:val="21"/>
                <w:lang w:eastAsia="zh-CN"/>
              </w:rPr>
              <w:t>市发展改革局</w:t>
            </w:r>
            <w:r>
              <w:rPr>
                <w:rFonts w:hint="eastAsia" w:ascii="Times New Roman" w:hAnsi="Times New Roman" w:cs="Times New Roman"/>
                <w:sz w:val="21"/>
                <w:szCs w:val="21"/>
              </w:rPr>
              <w:t>、市生态环境局</w:t>
            </w:r>
          </w:p>
        </w:tc>
        <w:tc>
          <w:tcPr>
            <w:tcW w:w="1001" w:type="pct"/>
            <w:tcBorders>
              <w:tl2br w:val="nil"/>
              <w:tr2bl w:val="nil"/>
            </w:tcBorders>
            <w:noWrap w:val="0"/>
            <w:vAlign w:val="center"/>
          </w:tcPr>
          <w:p>
            <w:pPr>
              <w:pStyle w:val="7"/>
              <w:widowControl w:val="0"/>
              <w:adjustRightInd w:val="0"/>
              <w:snapToGrid w:val="0"/>
              <w:spacing w:before="0" w:beforeAutospacing="0" w:after="0" w:afterAutospacing="0" w:line="300" w:lineRule="exact"/>
              <w:jc w:val="both"/>
              <w:rPr>
                <w:rFonts w:hint="eastAsia" w:ascii="Times New Roman" w:hAnsi="Times New Roman" w:eastAsia="宋体" w:cs="Times New Roman"/>
                <w:sz w:val="21"/>
                <w:szCs w:val="21"/>
                <w:lang w:eastAsia="zh-CN"/>
              </w:rPr>
            </w:pPr>
            <w:r>
              <w:rPr>
                <w:rFonts w:hint="eastAsia" w:ascii="Times New Roman" w:hAnsi="Times New Roman" w:cs="Times New Roman"/>
                <w:sz w:val="21"/>
                <w:szCs w:val="21"/>
              </w:rPr>
              <w:t>协调沟通商定</w:t>
            </w:r>
            <w:r>
              <w:rPr>
                <w:rFonts w:hint="eastAsia" w:ascii="Times New Roman" w:hAnsi="Times New Roman" w:cs="Times New Roman"/>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82" w:hRule="atLeast"/>
          <w:jc w:val="center"/>
        </w:trPr>
        <w:tc>
          <w:tcPr>
            <w:tcW w:w="167" w:type="pct"/>
            <w:tcBorders>
              <w:tl2br w:val="nil"/>
              <w:tr2bl w:val="nil"/>
            </w:tcBorders>
            <w:noWrap w:val="0"/>
            <w:vAlign w:val="center"/>
          </w:tcPr>
          <w:p>
            <w:pPr>
              <w:pStyle w:val="7"/>
              <w:widowControl w:val="0"/>
              <w:numPr>
                <w:ilvl w:val="0"/>
                <w:numId w:val="1"/>
              </w:numPr>
              <w:tabs>
                <w:tab w:val="left" w:pos="210"/>
              </w:tabs>
              <w:adjustRightInd w:val="0"/>
              <w:snapToGrid w:val="0"/>
              <w:spacing w:before="0" w:beforeAutospacing="0" w:after="0" w:afterAutospacing="0" w:line="260" w:lineRule="exact"/>
              <w:rPr>
                <w:rFonts w:ascii="Times New Roman" w:hAnsi="Times New Roman" w:cs="Times New Roman"/>
                <w:sz w:val="21"/>
                <w:szCs w:val="21"/>
              </w:rPr>
            </w:pPr>
          </w:p>
        </w:tc>
        <w:tc>
          <w:tcPr>
            <w:tcW w:w="360" w:type="pct"/>
            <w:vMerge w:val="continue"/>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p>
        </w:tc>
        <w:tc>
          <w:tcPr>
            <w:tcW w:w="535" w:type="pct"/>
            <w:vMerge w:val="restar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rFonts w:hint="eastAsia" w:ascii="Times New Roman" w:hAnsi="Times New Roman" w:cs="Times New Roman"/>
                <w:sz w:val="21"/>
                <w:szCs w:val="21"/>
              </w:rPr>
              <w:t>监管体系建设</w:t>
            </w:r>
          </w:p>
        </w:tc>
        <w:tc>
          <w:tcPr>
            <w:tcW w:w="1114"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rFonts w:hint="eastAsia" w:ascii="Times New Roman" w:hAnsi="Times New Roman" w:cs="Times New Roman"/>
                <w:sz w:val="21"/>
                <w:szCs w:val="21"/>
              </w:rPr>
              <w:t>固体废物管理信息化监管情况★</w:t>
            </w:r>
          </w:p>
        </w:tc>
        <w:tc>
          <w:tcPr>
            <w:tcW w:w="405"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rFonts w:ascii="Times New Roman" w:hAnsi="Times New Roman" w:cs="Times New Roman"/>
                <w:sz w:val="21"/>
                <w:szCs w:val="21"/>
              </w:rPr>
              <w:t>-</w:t>
            </w:r>
          </w:p>
        </w:tc>
        <w:tc>
          <w:tcPr>
            <w:tcW w:w="456"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rFonts w:hint="eastAsia" w:ascii="Times New Roman" w:hAnsi="Times New Roman" w:cs="Times New Roman"/>
                <w:sz w:val="21"/>
                <w:szCs w:val="21"/>
              </w:rPr>
              <w:t>建立</w:t>
            </w:r>
          </w:p>
        </w:tc>
        <w:tc>
          <w:tcPr>
            <w:tcW w:w="456"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rFonts w:hint="eastAsia" w:ascii="Times New Roman" w:hAnsi="Times New Roman" w:cs="Times New Roman"/>
                <w:sz w:val="21"/>
                <w:szCs w:val="21"/>
              </w:rPr>
              <w:t>进一步完善</w:t>
            </w:r>
          </w:p>
        </w:tc>
        <w:tc>
          <w:tcPr>
            <w:tcW w:w="506"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rFonts w:hint="eastAsia" w:ascii="Times New Roman" w:hAnsi="Times New Roman" w:cs="Times New Roman"/>
                <w:sz w:val="21"/>
                <w:szCs w:val="21"/>
              </w:rPr>
              <w:t>市</w:t>
            </w:r>
            <w:r>
              <w:rPr>
                <w:rFonts w:hint="eastAsia" w:ascii="Times New Roman" w:hAnsi="Times New Roman" w:cs="Times New Roman"/>
                <w:sz w:val="21"/>
                <w:szCs w:val="21"/>
                <w:lang w:eastAsia="zh-CN"/>
              </w:rPr>
              <w:t>政务数据管理</w:t>
            </w:r>
            <w:r>
              <w:rPr>
                <w:rFonts w:hint="eastAsia" w:ascii="Times New Roman" w:hAnsi="Times New Roman" w:cs="Times New Roman"/>
                <w:sz w:val="21"/>
                <w:szCs w:val="21"/>
              </w:rPr>
              <w:t>局、市生态环境局、市住房城乡建设局、市农业农村局、市交通运输局</w:t>
            </w:r>
          </w:p>
        </w:tc>
        <w:tc>
          <w:tcPr>
            <w:tcW w:w="1001" w:type="pct"/>
            <w:tcBorders>
              <w:tl2br w:val="nil"/>
              <w:tr2bl w:val="nil"/>
            </w:tcBorders>
            <w:noWrap w:val="0"/>
            <w:vAlign w:val="center"/>
          </w:tcPr>
          <w:p>
            <w:pPr>
              <w:pStyle w:val="7"/>
              <w:widowControl w:val="0"/>
              <w:adjustRightInd w:val="0"/>
              <w:snapToGrid w:val="0"/>
              <w:spacing w:before="0" w:beforeAutospacing="0" w:after="0" w:afterAutospacing="0" w:line="300" w:lineRule="exact"/>
              <w:jc w:val="both"/>
              <w:rPr>
                <w:rFonts w:hint="eastAsia" w:ascii="Times New Roman" w:hAnsi="Times New Roman" w:eastAsia="宋体" w:cs="Times New Roman"/>
                <w:sz w:val="21"/>
                <w:szCs w:val="21"/>
                <w:lang w:eastAsia="zh-CN"/>
              </w:rPr>
            </w:pPr>
            <w:r>
              <w:rPr>
                <w:rFonts w:hint="eastAsia" w:ascii="Times New Roman" w:hAnsi="Times New Roman" w:cs="Times New Roman"/>
                <w:sz w:val="21"/>
                <w:szCs w:val="21"/>
              </w:rPr>
              <w:t>协调沟通商定</w:t>
            </w:r>
            <w:r>
              <w:rPr>
                <w:rFonts w:hint="eastAsia" w:ascii="Times New Roman" w:hAnsi="Times New Roman" w:cs="Times New Roman"/>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82" w:hRule="atLeast"/>
          <w:jc w:val="center"/>
        </w:trPr>
        <w:tc>
          <w:tcPr>
            <w:tcW w:w="167" w:type="pct"/>
            <w:tcBorders>
              <w:tl2br w:val="nil"/>
              <w:tr2bl w:val="nil"/>
            </w:tcBorders>
            <w:noWrap w:val="0"/>
            <w:vAlign w:val="center"/>
          </w:tcPr>
          <w:p>
            <w:pPr>
              <w:pStyle w:val="7"/>
              <w:widowControl w:val="0"/>
              <w:numPr>
                <w:ilvl w:val="0"/>
                <w:numId w:val="1"/>
              </w:numPr>
              <w:tabs>
                <w:tab w:val="left" w:pos="210"/>
              </w:tabs>
              <w:adjustRightInd w:val="0"/>
              <w:snapToGrid w:val="0"/>
              <w:spacing w:before="0" w:beforeAutospacing="0" w:after="0" w:afterAutospacing="0" w:line="260" w:lineRule="exact"/>
              <w:rPr>
                <w:rFonts w:ascii="Times New Roman" w:hAnsi="Times New Roman" w:cs="Times New Roman"/>
                <w:sz w:val="21"/>
                <w:szCs w:val="21"/>
              </w:rPr>
            </w:pPr>
          </w:p>
        </w:tc>
        <w:tc>
          <w:tcPr>
            <w:tcW w:w="360" w:type="pct"/>
            <w:vMerge w:val="continue"/>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p>
        </w:tc>
        <w:tc>
          <w:tcPr>
            <w:tcW w:w="535" w:type="pct"/>
            <w:vMerge w:val="continue"/>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p>
        </w:tc>
        <w:tc>
          <w:tcPr>
            <w:tcW w:w="1114"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rFonts w:hint="eastAsia" w:ascii="Times New Roman" w:hAnsi="Times New Roman" w:cs="Times New Roman"/>
                <w:sz w:val="21"/>
                <w:szCs w:val="21"/>
              </w:rPr>
              <w:t>危险废物规范化管理抽查合格率</w:t>
            </w:r>
          </w:p>
        </w:tc>
        <w:tc>
          <w:tcPr>
            <w:tcW w:w="405"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rFonts w:ascii="Times New Roman" w:hAnsi="Times New Roman" w:cs="Times New Roman"/>
                <w:sz w:val="21"/>
                <w:szCs w:val="21"/>
              </w:rPr>
              <w:t>%</w:t>
            </w:r>
          </w:p>
        </w:tc>
        <w:tc>
          <w:tcPr>
            <w:tcW w:w="456"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rFonts w:ascii="Times New Roman" w:hAnsi="Times New Roman" w:cs="Times New Roman"/>
                <w:sz w:val="21"/>
                <w:szCs w:val="21"/>
              </w:rPr>
              <w:t>80</w:t>
            </w:r>
          </w:p>
        </w:tc>
        <w:tc>
          <w:tcPr>
            <w:tcW w:w="456"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rFonts w:ascii="Times New Roman" w:hAnsi="Times New Roman" w:cs="Times New Roman"/>
                <w:sz w:val="21"/>
                <w:szCs w:val="21"/>
              </w:rPr>
              <w:t>90</w:t>
            </w:r>
          </w:p>
        </w:tc>
        <w:tc>
          <w:tcPr>
            <w:tcW w:w="506"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rFonts w:hint="eastAsia" w:ascii="Times New Roman" w:hAnsi="Times New Roman" w:cs="Times New Roman"/>
                <w:sz w:val="21"/>
                <w:szCs w:val="21"/>
              </w:rPr>
              <w:t>市生态环境局</w:t>
            </w:r>
          </w:p>
        </w:tc>
        <w:tc>
          <w:tcPr>
            <w:tcW w:w="1001" w:type="pct"/>
            <w:tcBorders>
              <w:tl2br w:val="nil"/>
              <w:tr2bl w:val="nil"/>
            </w:tcBorders>
            <w:noWrap w:val="0"/>
            <w:vAlign w:val="center"/>
          </w:tcPr>
          <w:p>
            <w:pPr>
              <w:pStyle w:val="7"/>
              <w:widowControl w:val="0"/>
              <w:adjustRightInd w:val="0"/>
              <w:snapToGrid w:val="0"/>
              <w:spacing w:before="0" w:beforeAutospacing="0" w:after="0" w:afterAutospacing="0" w:line="300" w:lineRule="exact"/>
              <w:jc w:val="both"/>
              <w:rPr>
                <w:rFonts w:ascii="Times New Roman" w:hAnsi="Times New Roman" w:cs="Times New Roman"/>
                <w:sz w:val="21"/>
                <w:szCs w:val="21"/>
              </w:rPr>
            </w:pPr>
            <w:r>
              <w:rPr>
                <w:rFonts w:hint="eastAsia" w:ascii="Times New Roman" w:hAnsi="Times New Roman" w:cs="Times New Roman"/>
                <w:sz w:val="21"/>
                <w:szCs w:val="21"/>
              </w:rPr>
              <w:t>根据《</w:t>
            </w:r>
            <w:r>
              <w:rPr>
                <w:rFonts w:hint="eastAsia" w:ascii="Times New Roman" w:hAnsi="Times New Roman" w:cs="Times New Roman"/>
                <w:sz w:val="21"/>
                <w:szCs w:val="21"/>
                <w:lang w:eastAsia="zh-CN"/>
              </w:rPr>
              <w:t>“</w:t>
            </w:r>
            <w:r>
              <w:rPr>
                <w:rFonts w:ascii="Times New Roman" w:hAnsi="Times New Roman" w:cs="Times New Roman"/>
                <w:sz w:val="21"/>
                <w:szCs w:val="21"/>
              </w:rPr>
              <w:t>十四五</w:t>
            </w:r>
            <w:r>
              <w:rPr>
                <w:rFonts w:hint="eastAsia" w:ascii="Times New Roman" w:hAnsi="Times New Roman" w:cs="Times New Roman"/>
                <w:sz w:val="21"/>
                <w:szCs w:val="21"/>
                <w:lang w:eastAsia="zh-CN"/>
              </w:rPr>
              <w:t>”</w:t>
            </w:r>
            <w:r>
              <w:rPr>
                <w:rFonts w:ascii="Times New Roman" w:hAnsi="Times New Roman" w:cs="Times New Roman"/>
                <w:sz w:val="21"/>
                <w:szCs w:val="21"/>
              </w:rPr>
              <w:t>全国危险废物规范化环境管理评估工作方案</w:t>
            </w:r>
            <w:r>
              <w:rPr>
                <w:rFonts w:hint="eastAsia" w:ascii="Times New Roman" w:hAnsi="Times New Roman" w:cs="Times New Roman"/>
                <w:sz w:val="21"/>
                <w:szCs w:val="21"/>
              </w:rPr>
              <w:t>》和汕尾市危险废物规范化考核评估工作确定。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82" w:hRule="atLeast"/>
          <w:jc w:val="center"/>
        </w:trPr>
        <w:tc>
          <w:tcPr>
            <w:tcW w:w="167" w:type="pct"/>
            <w:tcBorders>
              <w:tl2br w:val="nil"/>
              <w:tr2bl w:val="nil"/>
            </w:tcBorders>
            <w:noWrap w:val="0"/>
            <w:vAlign w:val="center"/>
          </w:tcPr>
          <w:p>
            <w:pPr>
              <w:pStyle w:val="7"/>
              <w:widowControl w:val="0"/>
              <w:numPr>
                <w:ilvl w:val="0"/>
                <w:numId w:val="1"/>
              </w:numPr>
              <w:tabs>
                <w:tab w:val="left" w:pos="210"/>
              </w:tabs>
              <w:adjustRightInd w:val="0"/>
              <w:snapToGrid w:val="0"/>
              <w:spacing w:before="0" w:beforeAutospacing="0" w:after="0" w:afterAutospacing="0" w:line="260" w:lineRule="exact"/>
              <w:rPr>
                <w:rFonts w:ascii="Times New Roman" w:hAnsi="Times New Roman" w:cs="Times New Roman"/>
                <w:sz w:val="21"/>
                <w:szCs w:val="21"/>
              </w:rPr>
            </w:pPr>
          </w:p>
        </w:tc>
        <w:tc>
          <w:tcPr>
            <w:tcW w:w="360" w:type="pct"/>
            <w:vMerge w:val="continue"/>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p>
        </w:tc>
        <w:tc>
          <w:tcPr>
            <w:tcW w:w="535" w:type="pct"/>
            <w:vMerge w:val="continue"/>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p>
        </w:tc>
        <w:tc>
          <w:tcPr>
            <w:tcW w:w="1114"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rFonts w:hint="eastAsia" w:ascii="Times New Roman" w:hAnsi="Times New Roman" w:cs="Times New Roman"/>
                <w:sz w:val="21"/>
                <w:szCs w:val="21"/>
              </w:rPr>
              <w:t>固体废物环境污染刑事案件立案率★</w:t>
            </w:r>
          </w:p>
        </w:tc>
        <w:tc>
          <w:tcPr>
            <w:tcW w:w="405"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rFonts w:ascii="Times New Roman" w:hAnsi="Times New Roman" w:cs="Times New Roman"/>
                <w:sz w:val="21"/>
                <w:szCs w:val="21"/>
              </w:rPr>
              <w:t>%</w:t>
            </w:r>
          </w:p>
        </w:tc>
        <w:tc>
          <w:tcPr>
            <w:tcW w:w="456"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rFonts w:hint="eastAsia" w:ascii="Times New Roman" w:hAnsi="Times New Roman" w:cs="Times New Roman"/>
                <w:sz w:val="21"/>
                <w:szCs w:val="21"/>
              </w:rPr>
              <w:t>-</w:t>
            </w:r>
          </w:p>
        </w:tc>
        <w:tc>
          <w:tcPr>
            <w:tcW w:w="456"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rFonts w:hint="eastAsia" w:ascii="Times New Roman" w:hAnsi="Times New Roman" w:cs="Times New Roman"/>
                <w:sz w:val="21"/>
                <w:szCs w:val="21"/>
              </w:rPr>
              <w:t>100</w:t>
            </w:r>
          </w:p>
        </w:tc>
        <w:tc>
          <w:tcPr>
            <w:tcW w:w="506"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rFonts w:hint="eastAsia" w:ascii="Times New Roman" w:hAnsi="Times New Roman" w:cs="Times New Roman"/>
                <w:sz w:val="21"/>
                <w:szCs w:val="21"/>
              </w:rPr>
              <w:t>市公安局、市生态环境局</w:t>
            </w:r>
          </w:p>
        </w:tc>
        <w:tc>
          <w:tcPr>
            <w:tcW w:w="1001" w:type="pct"/>
            <w:tcBorders>
              <w:tl2br w:val="nil"/>
              <w:tr2bl w:val="nil"/>
            </w:tcBorders>
            <w:noWrap w:val="0"/>
            <w:vAlign w:val="center"/>
          </w:tcPr>
          <w:p>
            <w:pPr>
              <w:pStyle w:val="7"/>
              <w:widowControl w:val="0"/>
              <w:adjustRightInd w:val="0"/>
              <w:snapToGrid w:val="0"/>
              <w:spacing w:before="0" w:beforeAutospacing="0" w:after="0" w:afterAutospacing="0" w:line="300" w:lineRule="exact"/>
              <w:jc w:val="both"/>
              <w:rPr>
                <w:rFonts w:hint="eastAsia" w:ascii="Times New Roman" w:hAnsi="Times New Roman" w:eastAsia="宋体" w:cs="Times New Roman"/>
                <w:sz w:val="21"/>
                <w:szCs w:val="21"/>
                <w:lang w:eastAsia="zh-CN"/>
              </w:rPr>
            </w:pPr>
            <w:r>
              <w:rPr>
                <w:rFonts w:hint="eastAsia" w:ascii="Times New Roman" w:hAnsi="Times New Roman" w:cs="Times New Roman"/>
                <w:sz w:val="21"/>
                <w:szCs w:val="21"/>
              </w:rPr>
              <w:t>根据新《固废法》要求确定</w:t>
            </w:r>
            <w:r>
              <w:rPr>
                <w:rFonts w:hint="eastAsia" w:ascii="Times New Roman" w:hAnsi="Times New Roman" w:cs="Times New Roman"/>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167" w:type="pct"/>
            <w:tcBorders>
              <w:tl2br w:val="nil"/>
              <w:tr2bl w:val="nil"/>
            </w:tcBorders>
            <w:noWrap w:val="0"/>
            <w:vAlign w:val="center"/>
          </w:tcPr>
          <w:p>
            <w:pPr>
              <w:pStyle w:val="7"/>
              <w:widowControl w:val="0"/>
              <w:numPr>
                <w:ilvl w:val="0"/>
                <w:numId w:val="1"/>
              </w:numPr>
              <w:tabs>
                <w:tab w:val="left" w:pos="210"/>
              </w:tabs>
              <w:adjustRightInd w:val="0"/>
              <w:snapToGrid w:val="0"/>
              <w:spacing w:before="0" w:beforeAutospacing="0" w:after="0" w:afterAutospacing="0" w:line="260" w:lineRule="exact"/>
              <w:rPr>
                <w:rFonts w:ascii="Times New Roman" w:hAnsi="Times New Roman" w:cs="Times New Roman"/>
                <w:sz w:val="21"/>
                <w:szCs w:val="21"/>
              </w:rPr>
            </w:pPr>
          </w:p>
        </w:tc>
        <w:tc>
          <w:tcPr>
            <w:tcW w:w="360" w:type="pct"/>
            <w:vMerge w:val="restar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rFonts w:hint="eastAsia" w:ascii="Times New Roman" w:hAnsi="Times New Roman" w:cs="Times New Roman"/>
                <w:spacing w:val="-6"/>
                <w:sz w:val="21"/>
                <w:szCs w:val="21"/>
              </w:rPr>
              <w:t>群众获得感</w:t>
            </w:r>
          </w:p>
        </w:tc>
        <w:tc>
          <w:tcPr>
            <w:tcW w:w="535" w:type="pct"/>
            <w:vMerge w:val="restar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rFonts w:hint="eastAsia" w:ascii="Times New Roman" w:hAnsi="Times New Roman" w:cs="Times New Roman"/>
                <w:sz w:val="21"/>
                <w:szCs w:val="21"/>
              </w:rPr>
              <w:t>群众获得感</w:t>
            </w:r>
          </w:p>
        </w:tc>
        <w:tc>
          <w:tcPr>
            <w:tcW w:w="1114"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rFonts w:ascii="Times New Roman" w:hAnsi="Times New Roman" w:cs="Times New Roman"/>
                <w:sz w:val="21"/>
                <w:szCs w:val="21"/>
              </w:rPr>
              <w:t>“</w:t>
            </w:r>
            <w:r>
              <w:rPr>
                <w:rFonts w:hint="eastAsia" w:ascii="Times New Roman" w:hAnsi="Times New Roman" w:cs="Times New Roman"/>
                <w:sz w:val="21"/>
                <w:szCs w:val="21"/>
              </w:rPr>
              <w:t>无废城市</w:t>
            </w:r>
            <w:r>
              <w:rPr>
                <w:rFonts w:ascii="Times New Roman" w:hAnsi="Times New Roman" w:cs="Times New Roman"/>
                <w:sz w:val="21"/>
                <w:szCs w:val="21"/>
              </w:rPr>
              <w:t>”</w:t>
            </w:r>
            <w:r>
              <w:rPr>
                <w:rFonts w:hint="eastAsia" w:ascii="Times New Roman" w:hAnsi="Times New Roman" w:cs="Times New Roman"/>
                <w:sz w:val="21"/>
                <w:szCs w:val="21"/>
              </w:rPr>
              <w:t>建设宣传教育培训普及率</w:t>
            </w:r>
          </w:p>
        </w:tc>
        <w:tc>
          <w:tcPr>
            <w:tcW w:w="405"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rFonts w:ascii="Times New Roman" w:hAnsi="Times New Roman" w:cs="Times New Roman"/>
                <w:sz w:val="21"/>
                <w:szCs w:val="21"/>
              </w:rPr>
              <w:t>%</w:t>
            </w:r>
          </w:p>
        </w:tc>
        <w:tc>
          <w:tcPr>
            <w:tcW w:w="456"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rFonts w:ascii="Times New Roman" w:hAnsi="Times New Roman" w:cs="Times New Roman"/>
                <w:sz w:val="21"/>
                <w:szCs w:val="21"/>
              </w:rPr>
              <w:t>-</w:t>
            </w:r>
          </w:p>
        </w:tc>
        <w:tc>
          <w:tcPr>
            <w:tcW w:w="456"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rFonts w:ascii="Times New Roman" w:hAnsi="Times New Roman" w:cs="Times New Roman"/>
                <w:sz w:val="21"/>
                <w:szCs w:val="21"/>
              </w:rPr>
              <w:t>80</w:t>
            </w:r>
          </w:p>
        </w:tc>
        <w:tc>
          <w:tcPr>
            <w:tcW w:w="506"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rFonts w:hint="eastAsia" w:ascii="Times New Roman" w:hAnsi="Times New Roman" w:cs="Times New Roman"/>
                <w:sz w:val="21"/>
                <w:szCs w:val="21"/>
              </w:rPr>
              <w:t>市“无废城市”建设工作领导小组各成员单位</w:t>
            </w:r>
          </w:p>
        </w:tc>
        <w:tc>
          <w:tcPr>
            <w:tcW w:w="1001" w:type="pct"/>
            <w:vMerge w:val="restart"/>
            <w:tcBorders>
              <w:tl2br w:val="nil"/>
              <w:tr2bl w:val="nil"/>
            </w:tcBorders>
            <w:noWrap w:val="0"/>
            <w:vAlign w:val="center"/>
          </w:tcPr>
          <w:p>
            <w:pPr>
              <w:pStyle w:val="7"/>
              <w:widowControl w:val="0"/>
              <w:adjustRightInd w:val="0"/>
              <w:snapToGrid w:val="0"/>
              <w:spacing w:before="0" w:beforeAutospacing="0" w:after="0" w:afterAutospacing="0" w:line="300" w:lineRule="exact"/>
              <w:jc w:val="both"/>
              <w:rPr>
                <w:rFonts w:hint="eastAsia" w:ascii="Times New Roman" w:hAnsi="Times New Roman" w:eastAsia="宋体" w:cs="Times New Roman"/>
                <w:sz w:val="21"/>
                <w:szCs w:val="21"/>
                <w:lang w:eastAsia="zh-CN"/>
              </w:rPr>
            </w:pPr>
            <w:r>
              <w:rPr>
                <w:rFonts w:hint="eastAsia" w:ascii="Times New Roman" w:hAnsi="Times New Roman" w:cs="Times New Roman"/>
                <w:sz w:val="21"/>
                <w:szCs w:val="21"/>
              </w:rPr>
              <w:t>协调沟通商定</w:t>
            </w:r>
            <w:r>
              <w:rPr>
                <w:rFonts w:hint="eastAsia" w:ascii="Times New Roman" w:hAnsi="Times New Roman" w:cs="Times New Roman"/>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167" w:type="pct"/>
            <w:tcBorders>
              <w:tl2br w:val="nil"/>
              <w:tr2bl w:val="nil"/>
            </w:tcBorders>
            <w:noWrap w:val="0"/>
            <w:vAlign w:val="center"/>
          </w:tcPr>
          <w:p>
            <w:pPr>
              <w:pStyle w:val="7"/>
              <w:widowControl w:val="0"/>
              <w:numPr>
                <w:ilvl w:val="0"/>
                <w:numId w:val="1"/>
              </w:numPr>
              <w:tabs>
                <w:tab w:val="left" w:pos="210"/>
              </w:tabs>
              <w:adjustRightInd w:val="0"/>
              <w:snapToGrid w:val="0"/>
              <w:spacing w:before="0" w:beforeAutospacing="0" w:after="0" w:afterAutospacing="0" w:line="260" w:lineRule="exact"/>
              <w:rPr>
                <w:rFonts w:ascii="Times New Roman" w:hAnsi="Times New Roman" w:cs="Times New Roman"/>
                <w:sz w:val="21"/>
                <w:szCs w:val="21"/>
              </w:rPr>
            </w:pPr>
          </w:p>
        </w:tc>
        <w:tc>
          <w:tcPr>
            <w:tcW w:w="360" w:type="pct"/>
            <w:vMerge w:val="continue"/>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p>
        </w:tc>
        <w:tc>
          <w:tcPr>
            <w:tcW w:w="535" w:type="pct"/>
            <w:vMerge w:val="continue"/>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p>
        </w:tc>
        <w:tc>
          <w:tcPr>
            <w:tcW w:w="1114"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rFonts w:hint="eastAsia" w:ascii="Times New Roman" w:hAnsi="Times New Roman" w:cs="Times New Roman"/>
                <w:spacing w:val="-4"/>
                <w:sz w:val="21"/>
                <w:szCs w:val="21"/>
              </w:rPr>
              <w:t>政府、企事业单位、非政府环境组织、公众对</w:t>
            </w:r>
            <w:r>
              <w:rPr>
                <w:rFonts w:ascii="Times New Roman" w:hAnsi="Times New Roman" w:cs="Times New Roman"/>
                <w:spacing w:val="-4"/>
                <w:sz w:val="21"/>
                <w:szCs w:val="21"/>
              </w:rPr>
              <w:t>“</w:t>
            </w:r>
            <w:r>
              <w:rPr>
                <w:rFonts w:hint="eastAsia" w:ascii="Times New Roman" w:hAnsi="Times New Roman" w:cs="Times New Roman"/>
                <w:spacing w:val="-4"/>
                <w:sz w:val="21"/>
                <w:szCs w:val="21"/>
              </w:rPr>
              <w:t>无废城市</w:t>
            </w:r>
            <w:r>
              <w:rPr>
                <w:rFonts w:ascii="Times New Roman" w:hAnsi="Times New Roman" w:cs="Times New Roman"/>
                <w:spacing w:val="-4"/>
                <w:sz w:val="21"/>
                <w:szCs w:val="21"/>
              </w:rPr>
              <w:t>”</w:t>
            </w:r>
            <w:r>
              <w:rPr>
                <w:rFonts w:hint="eastAsia" w:ascii="Times New Roman" w:hAnsi="Times New Roman" w:cs="Times New Roman"/>
                <w:spacing w:val="-4"/>
                <w:sz w:val="21"/>
                <w:szCs w:val="21"/>
              </w:rPr>
              <w:t>建设的参与程度</w:t>
            </w:r>
          </w:p>
        </w:tc>
        <w:tc>
          <w:tcPr>
            <w:tcW w:w="405"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rFonts w:ascii="Times New Roman" w:hAnsi="Times New Roman" w:cs="Times New Roman"/>
                <w:sz w:val="21"/>
                <w:szCs w:val="21"/>
              </w:rPr>
              <w:t>-</w:t>
            </w:r>
          </w:p>
        </w:tc>
        <w:tc>
          <w:tcPr>
            <w:tcW w:w="456"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rFonts w:ascii="Times New Roman" w:hAnsi="Times New Roman" w:cs="Times New Roman"/>
                <w:sz w:val="21"/>
                <w:szCs w:val="21"/>
              </w:rPr>
              <w:t>-</w:t>
            </w:r>
          </w:p>
        </w:tc>
        <w:tc>
          <w:tcPr>
            <w:tcW w:w="456"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rFonts w:hint="eastAsia" w:ascii="Times New Roman" w:hAnsi="Times New Roman" w:cs="Times New Roman"/>
                <w:sz w:val="21"/>
                <w:szCs w:val="21"/>
              </w:rPr>
              <w:t>充分参与</w:t>
            </w:r>
          </w:p>
        </w:tc>
        <w:tc>
          <w:tcPr>
            <w:tcW w:w="506"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rFonts w:ascii="Times New Roman" w:hAnsi="Times New Roman" w:cs="Times New Roman"/>
                <w:sz w:val="21"/>
                <w:szCs w:val="21"/>
              </w:rPr>
              <w:t>市</w:t>
            </w:r>
            <w:r>
              <w:rPr>
                <w:rFonts w:hint="eastAsia" w:ascii="Times New Roman" w:hAnsi="Times New Roman" w:cs="Times New Roman"/>
                <w:sz w:val="21"/>
                <w:szCs w:val="21"/>
              </w:rPr>
              <w:t>“</w:t>
            </w:r>
            <w:r>
              <w:rPr>
                <w:rFonts w:ascii="Times New Roman" w:hAnsi="Times New Roman" w:cs="Times New Roman"/>
                <w:sz w:val="21"/>
                <w:szCs w:val="21"/>
              </w:rPr>
              <w:t>无废城市</w:t>
            </w:r>
            <w:r>
              <w:rPr>
                <w:rFonts w:hint="eastAsia" w:ascii="Times New Roman" w:hAnsi="Times New Roman" w:cs="Times New Roman"/>
                <w:sz w:val="21"/>
                <w:szCs w:val="21"/>
              </w:rPr>
              <w:t>”</w:t>
            </w:r>
            <w:r>
              <w:rPr>
                <w:rFonts w:ascii="Times New Roman" w:hAnsi="Times New Roman" w:cs="Times New Roman"/>
                <w:sz w:val="21"/>
                <w:szCs w:val="21"/>
              </w:rPr>
              <w:t>建设工作领导小组各成员单位</w:t>
            </w:r>
          </w:p>
        </w:tc>
        <w:tc>
          <w:tcPr>
            <w:tcW w:w="1001" w:type="pct"/>
            <w:vMerge w:val="continue"/>
            <w:tcBorders>
              <w:tl2br w:val="nil"/>
              <w:tr2bl w:val="nil"/>
            </w:tcBorders>
            <w:noWrap w:val="0"/>
            <w:vAlign w:val="center"/>
          </w:tcPr>
          <w:p>
            <w:pPr>
              <w:pStyle w:val="7"/>
              <w:widowControl w:val="0"/>
              <w:adjustRightInd w:val="0"/>
              <w:snapToGrid w:val="0"/>
              <w:spacing w:before="0" w:beforeAutospacing="0" w:after="0" w:afterAutospacing="0" w:line="300" w:lineRule="exact"/>
              <w:jc w:val="both"/>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167" w:type="pct"/>
            <w:tcBorders>
              <w:tl2br w:val="nil"/>
              <w:tr2bl w:val="nil"/>
            </w:tcBorders>
            <w:noWrap w:val="0"/>
            <w:vAlign w:val="center"/>
          </w:tcPr>
          <w:p>
            <w:pPr>
              <w:pStyle w:val="7"/>
              <w:widowControl w:val="0"/>
              <w:numPr>
                <w:ilvl w:val="0"/>
                <w:numId w:val="1"/>
              </w:numPr>
              <w:tabs>
                <w:tab w:val="left" w:pos="210"/>
              </w:tabs>
              <w:adjustRightInd w:val="0"/>
              <w:snapToGrid w:val="0"/>
              <w:spacing w:before="0" w:beforeAutospacing="0" w:after="0" w:afterAutospacing="0" w:line="260" w:lineRule="exact"/>
              <w:rPr>
                <w:rFonts w:ascii="Times New Roman" w:hAnsi="Times New Roman" w:cs="Times New Roman"/>
                <w:sz w:val="21"/>
                <w:szCs w:val="21"/>
              </w:rPr>
            </w:pPr>
          </w:p>
        </w:tc>
        <w:tc>
          <w:tcPr>
            <w:tcW w:w="360" w:type="pct"/>
            <w:vMerge w:val="continue"/>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p>
        </w:tc>
        <w:tc>
          <w:tcPr>
            <w:tcW w:w="535" w:type="pct"/>
            <w:vMerge w:val="continue"/>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p>
        </w:tc>
        <w:tc>
          <w:tcPr>
            <w:tcW w:w="1114"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rFonts w:hint="eastAsia" w:ascii="Times New Roman" w:hAnsi="Times New Roman" w:cs="Times New Roman"/>
                <w:spacing w:val="-6"/>
                <w:sz w:val="21"/>
                <w:szCs w:val="21"/>
              </w:rPr>
              <w:t>公众对</w:t>
            </w:r>
            <w:r>
              <w:rPr>
                <w:rFonts w:ascii="Times New Roman" w:hAnsi="Times New Roman" w:cs="Times New Roman"/>
                <w:spacing w:val="-6"/>
                <w:sz w:val="21"/>
                <w:szCs w:val="21"/>
              </w:rPr>
              <w:t>“</w:t>
            </w:r>
            <w:r>
              <w:rPr>
                <w:rFonts w:hint="eastAsia" w:ascii="Times New Roman" w:hAnsi="Times New Roman" w:cs="Times New Roman"/>
                <w:spacing w:val="-6"/>
                <w:sz w:val="21"/>
                <w:szCs w:val="21"/>
              </w:rPr>
              <w:t>无废城市</w:t>
            </w:r>
            <w:r>
              <w:rPr>
                <w:rFonts w:ascii="Times New Roman" w:hAnsi="Times New Roman" w:cs="Times New Roman"/>
                <w:spacing w:val="-6"/>
                <w:sz w:val="21"/>
                <w:szCs w:val="21"/>
              </w:rPr>
              <w:t>”</w:t>
            </w:r>
            <w:r>
              <w:rPr>
                <w:rFonts w:hint="eastAsia" w:ascii="Times New Roman" w:hAnsi="Times New Roman" w:cs="Times New Roman"/>
                <w:spacing w:val="-6"/>
                <w:sz w:val="21"/>
                <w:szCs w:val="21"/>
              </w:rPr>
              <w:t>建设成效的满意程度★</w:t>
            </w:r>
          </w:p>
        </w:tc>
        <w:tc>
          <w:tcPr>
            <w:tcW w:w="405"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rFonts w:ascii="Times New Roman" w:hAnsi="Times New Roman" w:cs="Times New Roman"/>
                <w:sz w:val="21"/>
                <w:szCs w:val="21"/>
              </w:rPr>
              <w:t>%</w:t>
            </w:r>
          </w:p>
        </w:tc>
        <w:tc>
          <w:tcPr>
            <w:tcW w:w="456"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rFonts w:ascii="Times New Roman" w:hAnsi="Times New Roman" w:cs="Times New Roman"/>
                <w:sz w:val="21"/>
                <w:szCs w:val="21"/>
              </w:rPr>
              <w:t>-</w:t>
            </w:r>
          </w:p>
        </w:tc>
        <w:tc>
          <w:tcPr>
            <w:tcW w:w="456"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rFonts w:ascii="Times New Roman" w:hAnsi="Times New Roman" w:cs="Times New Roman"/>
                <w:sz w:val="21"/>
                <w:szCs w:val="21"/>
              </w:rPr>
              <w:t>80</w:t>
            </w:r>
          </w:p>
        </w:tc>
        <w:tc>
          <w:tcPr>
            <w:tcW w:w="506"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rFonts w:hint="eastAsia" w:ascii="Times New Roman" w:hAnsi="Times New Roman" w:cs="Times New Roman"/>
                <w:sz w:val="21"/>
                <w:szCs w:val="21"/>
              </w:rPr>
              <w:t>市</w:t>
            </w:r>
            <w:r>
              <w:rPr>
                <w:rFonts w:ascii="Times New Roman" w:hAnsi="Times New Roman" w:cs="Times New Roman"/>
                <w:sz w:val="21"/>
                <w:szCs w:val="21"/>
              </w:rPr>
              <w:t>“</w:t>
            </w:r>
            <w:r>
              <w:rPr>
                <w:rFonts w:hint="eastAsia" w:ascii="Times New Roman" w:hAnsi="Times New Roman" w:cs="Times New Roman"/>
                <w:sz w:val="21"/>
                <w:szCs w:val="21"/>
              </w:rPr>
              <w:t>无废城市</w:t>
            </w:r>
            <w:r>
              <w:rPr>
                <w:rFonts w:ascii="Times New Roman" w:hAnsi="Times New Roman" w:cs="Times New Roman"/>
                <w:sz w:val="21"/>
                <w:szCs w:val="21"/>
              </w:rPr>
              <w:t>”</w:t>
            </w:r>
            <w:r>
              <w:rPr>
                <w:rFonts w:hint="eastAsia" w:ascii="Times New Roman" w:hAnsi="Times New Roman" w:cs="Times New Roman"/>
                <w:sz w:val="21"/>
                <w:szCs w:val="21"/>
              </w:rPr>
              <w:t>建设工作领导小组各成员单位</w:t>
            </w:r>
          </w:p>
        </w:tc>
        <w:tc>
          <w:tcPr>
            <w:tcW w:w="1001" w:type="pct"/>
            <w:vMerge w:val="continue"/>
            <w:tcBorders>
              <w:tl2br w:val="nil"/>
              <w:tr2bl w:val="nil"/>
            </w:tcBorders>
            <w:noWrap w:val="0"/>
            <w:vAlign w:val="center"/>
          </w:tcPr>
          <w:p>
            <w:pPr>
              <w:pStyle w:val="7"/>
              <w:widowControl w:val="0"/>
              <w:adjustRightInd w:val="0"/>
              <w:snapToGrid w:val="0"/>
              <w:spacing w:before="0" w:beforeAutospacing="0" w:after="0" w:afterAutospacing="0" w:line="300" w:lineRule="exact"/>
              <w:jc w:val="both"/>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167" w:type="pct"/>
            <w:tcBorders>
              <w:tl2br w:val="nil"/>
              <w:tr2bl w:val="nil"/>
            </w:tcBorders>
            <w:noWrap w:val="0"/>
            <w:vAlign w:val="center"/>
          </w:tcPr>
          <w:p>
            <w:pPr>
              <w:pStyle w:val="7"/>
              <w:widowControl w:val="0"/>
              <w:numPr>
                <w:ilvl w:val="0"/>
                <w:numId w:val="1"/>
              </w:numPr>
              <w:tabs>
                <w:tab w:val="left" w:pos="210"/>
              </w:tabs>
              <w:adjustRightInd w:val="0"/>
              <w:snapToGrid w:val="0"/>
              <w:spacing w:before="0" w:beforeAutospacing="0" w:after="0" w:afterAutospacing="0" w:line="260" w:lineRule="exact"/>
              <w:rPr>
                <w:rFonts w:ascii="Times New Roman" w:hAnsi="Times New Roman" w:cs="Times New Roman"/>
                <w:sz w:val="21"/>
                <w:szCs w:val="21"/>
              </w:rPr>
            </w:pPr>
          </w:p>
        </w:tc>
        <w:tc>
          <w:tcPr>
            <w:tcW w:w="895" w:type="pct"/>
            <w:gridSpan w:val="2"/>
            <w:vMerge w:val="restar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rFonts w:hint="eastAsia" w:ascii="Times New Roman" w:hAnsi="Times New Roman" w:cs="Times New Roman"/>
                <w:sz w:val="21"/>
                <w:szCs w:val="21"/>
              </w:rPr>
              <w:t>自选指标</w:t>
            </w:r>
          </w:p>
        </w:tc>
        <w:tc>
          <w:tcPr>
            <w:tcW w:w="1114"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pacing w:val="-6"/>
                <w:sz w:val="21"/>
                <w:szCs w:val="21"/>
              </w:rPr>
            </w:pPr>
            <w:r>
              <w:rPr>
                <w:rFonts w:hint="eastAsia" w:ascii="Times New Roman" w:hAnsi="Times New Roman" w:cs="Times New Roman"/>
                <w:spacing w:val="-6"/>
                <w:sz w:val="21"/>
                <w:szCs w:val="21"/>
              </w:rPr>
              <w:t>开展低碳示范园区数量</w:t>
            </w:r>
          </w:p>
        </w:tc>
        <w:tc>
          <w:tcPr>
            <w:tcW w:w="405"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rFonts w:hint="eastAsia" w:ascii="Times New Roman" w:hAnsi="Times New Roman" w:cs="Times New Roman"/>
                <w:sz w:val="21"/>
                <w:szCs w:val="21"/>
              </w:rPr>
              <w:t>个</w:t>
            </w:r>
          </w:p>
        </w:tc>
        <w:tc>
          <w:tcPr>
            <w:tcW w:w="456"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rFonts w:hint="eastAsia" w:ascii="Times New Roman" w:hAnsi="Times New Roman" w:cs="Times New Roman"/>
                <w:sz w:val="21"/>
                <w:szCs w:val="21"/>
              </w:rPr>
              <w:t>-</w:t>
            </w:r>
          </w:p>
        </w:tc>
        <w:tc>
          <w:tcPr>
            <w:tcW w:w="456"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rFonts w:ascii="Times New Roman" w:hAnsi="Times New Roman" w:cs="Times New Roman"/>
                <w:sz w:val="21"/>
                <w:szCs w:val="21"/>
              </w:rPr>
              <w:t>1</w:t>
            </w:r>
          </w:p>
        </w:tc>
        <w:tc>
          <w:tcPr>
            <w:tcW w:w="506"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rFonts w:hint="eastAsia" w:ascii="Times New Roman" w:hAnsi="Times New Roman" w:cs="Times New Roman"/>
                <w:sz w:val="21"/>
                <w:szCs w:val="21"/>
                <w:lang w:eastAsia="zh-CN"/>
              </w:rPr>
              <w:t>市发展改革局</w:t>
            </w:r>
            <w:r>
              <w:rPr>
                <w:rFonts w:hint="eastAsia" w:ascii="Times New Roman" w:hAnsi="Times New Roman" w:cs="Times New Roman"/>
                <w:sz w:val="21"/>
                <w:szCs w:val="21"/>
              </w:rPr>
              <w:t>、汕尾高新区管委会</w:t>
            </w:r>
          </w:p>
        </w:tc>
        <w:tc>
          <w:tcPr>
            <w:tcW w:w="1001" w:type="pct"/>
            <w:tcBorders>
              <w:tl2br w:val="nil"/>
              <w:tr2bl w:val="nil"/>
            </w:tcBorders>
            <w:noWrap w:val="0"/>
            <w:vAlign w:val="center"/>
          </w:tcPr>
          <w:p>
            <w:pPr>
              <w:pStyle w:val="7"/>
              <w:widowControl w:val="0"/>
              <w:adjustRightInd w:val="0"/>
              <w:snapToGrid w:val="0"/>
              <w:spacing w:before="0" w:beforeAutospacing="0" w:after="0" w:afterAutospacing="0" w:line="300" w:lineRule="exact"/>
              <w:jc w:val="both"/>
              <w:rPr>
                <w:rFonts w:hint="eastAsia" w:ascii="Times New Roman" w:hAnsi="Times New Roman" w:eastAsia="宋体" w:cs="Times New Roman"/>
                <w:sz w:val="21"/>
                <w:szCs w:val="21"/>
                <w:lang w:eastAsia="zh-CN"/>
              </w:rPr>
            </w:pPr>
            <w:r>
              <w:rPr>
                <w:rFonts w:hint="eastAsia" w:ascii="Times New Roman" w:hAnsi="Times New Roman" w:cs="Times New Roman"/>
                <w:sz w:val="21"/>
                <w:szCs w:val="21"/>
              </w:rPr>
              <w:t>协调沟通商定</w:t>
            </w:r>
            <w:r>
              <w:rPr>
                <w:rFonts w:hint="eastAsia" w:ascii="Times New Roman" w:hAnsi="Times New Roman" w:cs="Times New Roman"/>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167" w:type="pct"/>
            <w:tcBorders>
              <w:tl2br w:val="nil"/>
              <w:tr2bl w:val="nil"/>
            </w:tcBorders>
            <w:noWrap w:val="0"/>
            <w:vAlign w:val="center"/>
          </w:tcPr>
          <w:p>
            <w:pPr>
              <w:pStyle w:val="7"/>
              <w:widowControl w:val="0"/>
              <w:numPr>
                <w:ilvl w:val="0"/>
                <w:numId w:val="1"/>
              </w:numPr>
              <w:tabs>
                <w:tab w:val="left" w:pos="210"/>
              </w:tabs>
              <w:adjustRightInd w:val="0"/>
              <w:snapToGrid w:val="0"/>
              <w:spacing w:before="0" w:beforeAutospacing="0" w:after="0" w:afterAutospacing="0" w:line="260" w:lineRule="exact"/>
              <w:rPr>
                <w:rFonts w:ascii="Times New Roman" w:hAnsi="Times New Roman" w:cs="Times New Roman"/>
                <w:sz w:val="21"/>
                <w:szCs w:val="21"/>
              </w:rPr>
            </w:pPr>
          </w:p>
        </w:tc>
        <w:tc>
          <w:tcPr>
            <w:tcW w:w="895" w:type="pct"/>
            <w:gridSpan w:val="2"/>
            <w:vMerge w:val="continue"/>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p>
        </w:tc>
        <w:tc>
          <w:tcPr>
            <w:tcW w:w="1114"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pacing w:val="-6"/>
                <w:sz w:val="21"/>
                <w:szCs w:val="21"/>
              </w:rPr>
            </w:pPr>
            <w:r>
              <w:rPr>
                <w:rFonts w:hint="eastAsia" w:ascii="Times New Roman" w:hAnsi="Times New Roman" w:cs="Times New Roman"/>
                <w:spacing w:val="-6"/>
                <w:sz w:val="21"/>
                <w:szCs w:val="21"/>
              </w:rPr>
              <w:t>创建美丽海湾数量</w:t>
            </w:r>
          </w:p>
        </w:tc>
        <w:tc>
          <w:tcPr>
            <w:tcW w:w="405"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rFonts w:hint="eastAsia" w:ascii="Times New Roman" w:hAnsi="Times New Roman" w:cs="Times New Roman"/>
                <w:sz w:val="21"/>
                <w:szCs w:val="21"/>
              </w:rPr>
              <w:t>个</w:t>
            </w:r>
          </w:p>
        </w:tc>
        <w:tc>
          <w:tcPr>
            <w:tcW w:w="456"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rFonts w:hint="eastAsia" w:ascii="Times New Roman" w:hAnsi="Times New Roman" w:cs="Times New Roman"/>
                <w:sz w:val="21"/>
                <w:szCs w:val="21"/>
              </w:rPr>
              <w:t>0</w:t>
            </w:r>
          </w:p>
        </w:tc>
        <w:tc>
          <w:tcPr>
            <w:tcW w:w="456"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rFonts w:ascii="Times New Roman" w:hAnsi="Times New Roman" w:cs="Times New Roman"/>
                <w:sz w:val="21"/>
                <w:szCs w:val="21"/>
              </w:rPr>
              <w:t>1</w:t>
            </w:r>
          </w:p>
        </w:tc>
        <w:tc>
          <w:tcPr>
            <w:tcW w:w="506"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rFonts w:hint="eastAsia" w:ascii="Times New Roman" w:hAnsi="Times New Roman" w:cs="Times New Roman"/>
                <w:sz w:val="21"/>
                <w:szCs w:val="21"/>
              </w:rPr>
              <w:t>市生态环境局</w:t>
            </w:r>
          </w:p>
        </w:tc>
        <w:tc>
          <w:tcPr>
            <w:tcW w:w="1001" w:type="pct"/>
            <w:tcBorders>
              <w:tl2br w:val="nil"/>
              <w:tr2bl w:val="nil"/>
            </w:tcBorders>
            <w:noWrap w:val="0"/>
            <w:vAlign w:val="center"/>
          </w:tcPr>
          <w:p>
            <w:pPr>
              <w:pStyle w:val="7"/>
              <w:widowControl w:val="0"/>
              <w:adjustRightInd w:val="0"/>
              <w:snapToGrid w:val="0"/>
              <w:spacing w:before="0" w:beforeAutospacing="0" w:after="0" w:afterAutospacing="0" w:line="300" w:lineRule="exact"/>
              <w:jc w:val="both"/>
              <w:rPr>
                <w:rFonts w:hint="eastAsia" w:ascii="Times New Roman" w:hAnsi="Times New Roman" w:eastAsia="宋体" w:cs="Times New Roman"/>
                <w:sz w:val="21"/>
                <w:szCs w:val="21"/>
                <w:lang w:eastAsia="zh-CN"/>
              </w:rPr>
            </w:pPr>
            <w:r>
              <w:rPr>
                <w:rFonts w:hint="eastAsia" w:ascii="Times New Roman" w:hAnsi="Times New Roman" w:cs="Times New Roman"/>
                <w:sz w:val="21"/>
                <w:szCs w:val="21"/>
              </w:rPr>
              <w:t>协调沟通商定</w:t>
            </w:r>
            <w:r>
              <w:rPr>
                <w:rFonts w:hint="eastAsia" w:ascii="Times New Roman" w:hAnsi="Times New Roman" w:cs="Times New Roman"/>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167" w:type="pct"/>
            <w:tcBorders>
              <w:tl2br w:val="nil"/>
              <w:tr2bl w:val="nil"/>
            </w:tcBorders>
            <w:noWrap w:val="0"/>
            <w:vAlign w:val="center"/>
          </w:tcPr>
          <w:p>
            <w:pPr>
              <w:pStyle w:val="7"/>
              <w:widowControl w:val="0"/>
              <w:numPr>
                <w:ilvl w:val="0"/>
                <w:numId w:val="1"/>
              </w:numPr>
              <w:tabs>
                <w:tab w:val="left" w:pos="210"/>
              </w:tabs>
              <w:adjustRightInd w:val="0"/>
              <w:snapToGrid w:val="0"/>
              <w:spacing w:before="0" w:beforeAutospacing="0" w:after="0" w:afterAutospacing="0" w:line="260" w:lineRule="exact"/>
              <w:rPr>
                <w:rFonts w:ascii="Times New Roman" w:hAnsi="Times New Roman" w:cs="Times New Roman"/>
                <w:sz w:val="21"/>
                <w:szCs w:val="21"/>
              </w:rPr>
            </w:pPr>
          </w:p>
        </w:tc>
        <w:tc>
          <w:tcPr>
            <w:tcW w:w="895" w:type="pct"/>
            <w:gridSpan w:val="2"/>
            <w:vMerge w:val="continue"/>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p>
        </w:tc>
        <w:tc>
          <w:tcPr>
            <w:tcW w:w="1114"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pacing w:val="-6"/>
                <w:sz w:val="21"/>
                <w:szCs w:val="21"/>
              </w:rPr>
            </w:pPr>
            <w:r>
              <w:rPr>
                <w:rFonts w:hint="eastAsia" w:ascii="Times New Roman" w:hAnsi="Times New Roman" w:cs="Times New Roman"/>
                <w:spacing w:val="-6"/>
                <w:sz w:val="21"/>
                <w:szCs w:val="21"/>
              </w:rPr>
              <w:t>创建国家级海洋牧场示范区数量</w:t>
            </w:r>
          </w:p>
        </w:tc>
        <w:tc>
          <w:tcPr>
            <w:tcW w:w="405"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rFonts w:hint="eastAsia" w:ascii="Times New Roman" w:hAnsi="Times New Roman" w:cs="Times New Roman"/>
                <w:sz w:val="21"/>
                <w:szCs w:val="21"/>
              </w:rPr>
              <w:t>个</w:t>
            </w:r>
          </w:p>
        </w:tc>
        <w:tc>
          <w:tcPr>
            <w:tcW w:w="456"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rFonts w:ascii="Times New Roman" w:hAnsi="Times New Roman" w:cs="Times New Roman"/>
                <w:sz w:val="21"/>
                <w:szCs w:val="21"/>
              </w:rPr>
              <w:t>0</w:t>
            </w:r>
          </w:p>
        </w:tc>
        <w:tc>
          <w:tcPr>
            <w:tcW w:w="456"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rFonts w:ascii="Times New Roman" w:hAnsi="Times New Roman" w:cs="Times New Roman"/>
                <w:sz w:val="21"/>
                <w:szCs w:val="21"/>
              </w:rPr>
              <w:t>3</w:t>
            </w:r>
          </w:p>
        </w:tc>
        <w:tc>
          <w:tcPr>
            <w:tcW w:w="506"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rFonts w:hint="eastAsia" w:ascii="Times New Roman" w:hAnsi="Times New Roman" w:cs="Times New Roman"/>
                <w:sz w:val="21"/>
                <w:szCs w:val="21"/>
              </w:rPr>
              <w:t>市农业农村局</w:t>
            </w:r>
          </w:p>
        </w:tc>
        <w:tc>
          <w:tcPr>
            <w:tcW w:w="1001" w:type="pct"/>
            <w:tcBorders>
              <w:tl2br w:val="nil"/>
              <w:tr2bl w:val="nil"/>
            </w:tcBorders>
            <w:noWrap w:val="0"/>
            <w:vAlign w:val="center"/>
          </w:tcPr>
          <w:p>
            <w:pPr>
              <w:pStyle w:val="7"/>
              <w:widowControl w:val="0"/>
              <w:adjustRightInd w:val="0"/>
              <w:snapToGrid w:val="0"/>
              <w:spacing w:before="0" w:beforeAutospacing="0" w:after="0" w:afterAutospacing="0" w:line="300" w:lineRule="exact"/>
              <w:jc w:val="both"/>
              <w:rPr>
                <w:rFonts w:hint="eastAsia" w:ascii="Times New Roman" w:hAnsi="Times New Roman" w:eastAsia="宋体" w:cs="Times New Roman"/>
                <w:sz w:val="21"/>
                <w:szCs w:val="21"/>
                <w:lang w:eastAsia="zh-CN"/>
              </w:rPr>
            </w:pPr>
            <w:r>
              <w:rPr>
                <w:rFonts w:hint="eastAsia" w:ascii="Times New Roman" w:hAnsi="Times New Roman" w:cs="Times New Roman"/>
                <w:sz w:val="21"/>
                <w:szCs w:val="21"/>
              </w:rPr>
              <w:t>协调沟通商定</w:t>
            </w:r>
            <w:r>
              <w:rPr>
                <w:rFonts w:hint="eastAsia" w:ascii="Times New Roman" w:hAnsi="Times New Roman" w:cs="Times New Roman"/>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167" w:type="pct"/>
            <w:tcBorders>
              <w:tl2br w:val="nil"/>
              <w:tr2bl w:val="nil"/>
            </w:tcBorders>
            <w:noWrap w:val="0"/>
            <w:vAlign w:val="center"/>
          </w:tcPr>
          <w:p>
            <w:pPr>
              <w:pStyle w:val="7"/>
              <w:widowControl w:val="0"/>
              <w:numPr>
                <w:ilvl w:val="0"/>
                <w:numId w:val="1"/>
              </w:numPr>
              <w:tabs>
                <w:tab w:val="left" w:pos="210"/>
              </w:tabs>
              <w:adjustRightInd w:val="0"/>
              <w:snapToGrid w:val="0"/>
              <w:spacing w:before="0" w:beforeAutospacing="0" w:after="0" w:afterAutospacing="0" w:line="260" w:lineRule="exact"/>
              <w:rPr>
                <w:rFonts w:ascii="Times New Roman" w:hAnsi="Times New Roman" w:cs="Times New Roman"/>
                <w:sz w:val="21"/>
                <w:szCs w:val="21"/>
              </w:rPr>
            </w:pPr>
          </w:p>
        </w:tc>
        <w:tc>
          <w:tcPr>
            <w:tcW w:w="895" w:type="pct"/>
            <w:gridSpan w:val="2"/>
            <w:vMerge w:val="continue"/>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p>
        </w:tc>
        <w:tc>
          <w:tcPr>
            <w:tcW w:w="1114"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pacing w:val="-6"/>
                <w:sz w:val="21"/>
                <w:szCs w:val="21"/>
              </w:rPr>
            </w:pPr>
            <w:r>
              <w:rPr>
                <w:rFonts w:hint="eastAsia" w:ascii="Times New Roman" w:hAnsi="Times New Roman" w:cs="Times New Roman"/>
                <w:spacing w:val="-6"/>
                <w:sz w:val="21"/>
                <w:szCs w:val="21"/>
              </w:rPr>
              <w:t>开展医疗废物智能收集试点县数量</w:t>
            </w:r>
          </w:p>
        </w:tc>
        <w:tc>
          <w:tcPr>
            <w:tcW w:w="405"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rFonts w:hint="eastAsia" w:ascii="Times New Roman" w:hAnsi="Times New Roman" w:cs="Times New Roman"/>
                <w:sz w:val="21"/>
                <w:szCs w:val="21"/>
              </w:rPr>
              <w:t>个</w:t>
            </w:r>
          </w:p>
        </w:tc>
        <w:tc>
          <w:tcPr>
            <w:tcW w:w="456"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rFonts w:hint="eastAsia" w:ascii="Times New Roman" w:hAnsi="Times New Roman" w:cs="Times New Roman"/>
                <w:sz w:val="21"/>
                <w:szCs w:val="21"/>
              </w:rPr>
              <w:t>0</w:t>
            </w:r>
          </w:p>
        </w:tc>
        <w:tc>
          <w:tcPr>
            <w:tcW w:w="456"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rFonts w:ascii="Times New Roman" w:hAnsi="Times New Roman" w:cs="Times New Roman"/>
                <w:sz w:val="21"/>
                <w:szCs w:val="21"/>
              </w:rPr>
              <w:t>1</w:t>
            </w:r>
          </w:p>
        </w:tc>
        <w:tc>
          <w:tcPr>
            <w:tcW w:w="506"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rFonts w:hint="eastAsia" w:ascii="Times New Roman" w:hAnsi="Times New Roman" w:cs="Times New Roman"/>
                <w:sz w:val="21"/>
                <w:szCs w:val="21"/>
                <w:lang w:eastAsia="zh-CN"/>
              </w:rPr>
              <w:t>市卫生健康局</w:t>
            </w:r>
            <w:r>
              <w:rPr>
                <w:rFonts w:hint="eastAsia" w:ascii="Times New Roman" w:hAnsi="Times New Roman" w:cs="Times New Roman"/>
                <w:sz w:val="21"/>
                <w:szCs w:val="21"/>
              </w:rPr>
              <w:t>、市生态环境局</w:t>
            </w:r>
          </w:p>
        </w:tc>
        <w:tc>
          <w:tcPr>
            <w:tcW w:w="1001" w:type="pct"/>
            <w:tcBorders>
              <w:tl2br w:val="nil"/>
              <w:tr2bl w:val="nil"/>
            </w:tcBorders>
            <w:noWrap w:val="0"/>
            <w:vAlign w:val="center"/>
          </w:tcPr>
          <w:p>
            <w:pPr>
              <w:pStyle w:val="7"/>
              <w:widowControl w:val="0"/>
              <w:adjustRightInd w:val="0"/>
              <w:snapToGrid w:val="0"/>
              <w:spacing w:before="0" w:beforeAutospacing="0" w:after="0" w:afterAutospacing="0" w:line="300" w:lineRule="exact"/>
              <w:jc w:val="both"/>
              <w:rPr>
                <w:rFonts w:hint="eastAsia" w:ascii="Times New Roman" w:hAnsi="Times New Roman" w:eastAsia="宋体" w:cs="Times New Roman"/>
                <w:sz w:val="21"/>
                <w:szCs w:val="21"/>
                <w:lang w:eastAsia="zh-CN"/>
              </w:rPr>
            </w:pPr>
            <w:r>
              <w:rPr>
                <w:rFonts w:hint="eastAsia" w:ascii="Times New Roman" w:hAnsi="Times New Roman" w:cs="Times New Roman"/>
                <w:sz w:val="21"/>
                <w:szCs w:val="21"/>
              </w:rPr>
              <w:t>协调沟通商定</w:t>
            </w:r>
            <w:r>
              <w:rPr>
                <w:rFonts w:hint="eastAsia" w:ascii="Times New Roman" w:hAnsi="Times New Roman" w:cs="Times New Roman"/>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167" w:type="pct"/>
            <w:tcBorders>
              <w:tl2br w:val="nil"/>
              <w:tr2bl w:val="nil"/>
            </w:tcBorders>
            <w:noWrap w:val="0"/>
            <w:vAlign w:val="center"/>
          </w:tcPr>
          <w:p>
            <w:pPr>
              <w:pStyle w:val="7"/>
              <w:widowControl w:val="0"/>
              <w:numPr>
                <w:ilvl w:val="0"/>
                <w:numId w:val="1"/>
              </w:numPr>
              <w:tabs>
                <w:tab w:val="left" w:pos="210"/>
              </w:tabs>
              <w:adjustRightInd w:val="0"/>
              <w:snapToGrid w:val="0"/>
              <w:spacing w:before="0" w:beforeAutospacing="0" w:after="0" w:afterAutospacing="0" w:line="260" w:lineRule="exact"/>
              <w:rPr>
                <w:rFonts w:ascii="Times New Roman" w:hAnsi="Times New Roman" w:cs="Times New Roman"/>
                <w:sz w:val="21"/>
                <w:szCs w:val="21"/>
              </w:rPr>
            </w:pPr>
          </w:p>
        </w:tc>
        <w:tc>
          <w:tcPr>
            <w:tcW w:w="895" w:type="pct"/>
            <w:gridSpan w:val="2"/>
            <w:vMerge w:val="continue"/>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p>
        </w:tc>
        <w:tc>
          <w:tcPr>
            <w:tcW w:w="1114"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pacing w:val="-6"/>
                <w:sz w:val="21"/>
                <w:szCs w:val="21"/>
              </w:rPr>
            </w:pPr>
            <w:r>
              <w:rPr>
                <w:rFonts w:hint="eastAsia" w:ascii="Times New Roman" w:hAnsi="Times New Roman" w:cs="Times New Roman"/>
                <w:spacing w:val="-6"/>
                <w:sz w:val="21"/>
                <w:szCs w:val="21"/>
              </w:rPr>
              <w:t>医疗废物焚烧处置占比</w:t>
            </w:r>
          </w:p>
        </w:tc>
        <w:tc>
          <w:tcPr>
            <w:tcW w:w="405"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rFonts w:ascii="Times New Roman" w:hAnsi="Times New Roman" w:cs="Times New Roman"/>
                <w:sz w:val="21"/>
                <w:szCs w:val="21"/>
              </w:rPr>
              <w:t>%</w:t>
            </w:r>
          </w:p>
        </w:tc>
        <w:tc>
          <w:tcPr>
            <w:tcW w:w="456"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rFonts w:ascii="Times New Roman" w:hAnsi="Times New Roman" w:cs="Times New Roman"/>
                <w:sz w:val="21"/>
                <w:szCs w:val="21"/>
              </w:rPr>
              <w:t>100</w:t>
            </w:r>
          </w:p>
        </w:tc>
        <w:tc>
          <w:tcPr>
            <w:tcW w:w="456"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ascii="Times New Roman" w:hAnsi="Times New Roman" w:cs="Times New Roman"/>
                <w:sz w:val="21"/>
                <w:szCs w:val="21"/>
              </w:rPr>
            </w:pPr>
            <w:r>
              <w:rPr>
                <w:rFonts w:ascii="Times New Roman" w:hAnsi="Times New Roman" w:cs="Times New Roman"/>
                <w:sz w:val="21"/>
                <w:szCs w:val="21"/>
              </w:rPr>
              <w:t>100</w:t>
            </w:r>
          </w:p>
        </w:tc>
        <w:tc>
          <w:tcPr>
            <w:tcW w:w="506" w:type="pct"/>
            <w:tcBorders>
              <w:tl2br w:val="nil"/>
              <w:tr2bl w:val="nil"/>
            </w:tcBorders>
            <w:noWrap w:val="0"/>
            <w:vAlign w:val="center"/>
          </w:tcPr>
          <w:p>
            <w:pPr>
              <w:pStyle w:val="7"/>
              <w:widowControl w:val="0"/>
              <w:adjustRightInd w:val="0"/>
              <w:snapToGrid w:val="0"/>
              <w:spacing w:before="0" w:beforeAutospacing="0" w:after="0" w:afterAutospacing="0" w:line="300" w:lineRule="exact"/>
              <w:rPr>
                <w:rFonts w:hint="eastAsia" w:ascii="Times New Roman" w:hAnsi="Times New Roman" w:eastAsia="宋体" w:cs="Times New Roman"/>
                <w:sz w:val="21"/>
                <w:szCs w:val="21"/>
                <w:lang w:eastAsia="zh-CN"/>
              </w:rPr>
            </w:pPr>
            <w:r>
              <w:rPr>
                <w:rFonts w:hint="eastAsia" w:ascii="Times New Roman" w:hAnsi="Times New Roman" w:cs="Times New Roman"/>
                <w:sz w:val="21"/>
                <w:szCs w:val="21"/>
              </w:rPr>
              <w:t>市生态环境局、</w:t>
            </w:r>
            <w:r>
              <w:rPr>
                <w:rFonts w:hint="eastAsia" w:ascii="Times New Roman" w:hAnsi="Times New Roman" w:cs="Times New Roman"/>
                <w:sz w:val="21"/>
                <w:szCs w:val="21"/>
                <w:lang w:eastAsia="zh-CN"/>
              </w:rPr>
              <w:t>市卫生健康局</w:t>
            </w:r>
          </w:p>
        </w:tc>
        <w:tc>
          <w:tcPr>
            <w:tcW w:w="1001" w:type="pct"/>
            <w:tcBorders>
              <w:tl2br w:val="nil"/>
              <w:tr2bl w:val="nil"/>
            </w:tcBorders>
            <w:noWrap w:val="0"/>
            <w:vAlign w:val="center"/>
          </w:tcPr>
          <w:p>
            <w:pPr>
              <w:pStyle w:val="7"/>
              <w:widowControl w:val="0"/>
              <w:adjustRightInd w:val="0"/>
              <w:snapToGrid w:val="0"/>
              <w:spacing w:before="0" w:beforeAutospacing="0" w:after="0" w:afterAutospacing="0" w:line="300" w:lineRule="exact"/>
              <w:jc w:val="both"/>
              <w:rPr>
                <w:rFonts w:hint="eastAsia" w:ascii="Times New Roman" w:hAnsi="Times New Roman" w:eastAsia="宋体" w:cs="Times New Roman"/>
                <w:sz w:val="21"/>
                <w:szCs w:val="21"/>
                <w:lang w:eastAsia="zh-CN"/>
              </w:rPr>
            </w:pPr>
            <w:r>
              <w:rPr>
                <w:sz w:val="21"/>
                <w:szCs w:val="21"/>
              </w:rPr>
              <w:t>维持现状不下降</w:t>
            </w:r>
            <w:r>
              <w:rPr>
                <w:rFonts w:hint="eastAsia"/>
                <w:sz w:val="21"/>
                <w:szCs w:val="21"/>
                <w:lang w:eastAsia="zh-CN"/>
              </w:rPr>
              <w:t>。</w:t>
            </w:r>
          </w:p>
        </w:tc>
      </w:tr>
    </w:tbl>
    <w:p>
      <w:pPr>
        <w:rPr>
          <w:rFonts w:ascii="Times New Roman" w:hAnsi="Times New Roman" w:eastAsia="仿宋_GB2312" w:cs="Times New Roman"/>
          <w:sz w:val="32"/>
          <w:szCs w:val="32"/>
        </w:rPr>
        <w:sectPr>
          <w:pgSz w:w="16838" w:h="11906" w:orient="landscape"/>
          <w:pgMar w:top="1800" w:right="1440" w:bottom="1800" w:left="1440" w:header="851" w:footer="992" w:gutter="0"/>
          <w:pgNumType w:fmt="numberInDash"/>
          <w:cols w:space="720" w:num="1"/>
          <w:docGrid w:type="lines" w:linePitch="312" w:charSpace="0"/>
        </w:sectPr>
      </w:pPr>
    </w:p>
    <w:p/>
    <w:sectPr>
      <w:pgSz w:w="16838" w:h="11906" w:orient="landscape"/>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Segoe UI Symbol">
    <w:panose1 w:val="020B0502040204020203"/>
    <w:charset w:val="00"/>
    <w:family w:val="swiss"/>
    <w:pitch w:val="default"/>
    <w:sig w:usb0="800001E3" w:usb1="1200FFEF" w:usb2="00040000" w:usb3="04000000" w:csb0="00000001" w:csb1="4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7CEABF"/>
    <w:multiLevelType w:val="singleLevel"/>
    <w:tmpl w:val="607CEABF"/>
    <w:lvl w:ilvl="0" w:tentative="0">
      <w:start w:val="1"/>
      <w:numFmt w:val="decimal"/>
      <w:lvlText w:val="%1"/>
      <w:lvlJc w:val="left"/>
      <w:pPr>
        <w:ind w:left="420" w:hanging="4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iMmJkNmUzYjU3ZjA0MDFkMGJjYTY2MTNhOTAwODUifQ=="/>
    <w:docVar w:name="KSO_WPS_MARK_KEY" w:val="a11a0ad9-7fd3-41c2-be5b-4a5463d1a951"/>
  </w:docVars>
  <w:rsids>
    <w:rsidRoot w:val="1D4157B7"/>
    <w:rsid w:val="1D4157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toc 2"/>
    <w:basedOn w:val="1"/>
    <w:next w:val="1"/>
    <w:uiPriority w:val="0"/>
    <w:pPr>
      <w:ind w:leftChars="200"/>
    </w:pPr>
  </w:style>
  <w:style w:type="paragraph" w:styleId="3">
    <w:name w:val="footer"/>
    <w:basedOn w:val="1"/>
    <w:unhideWhenUsed/>
    <w:qFormat/>
    <w:uiPriority w:val="99"/>
    <w:pPr>
      <w:tabs>
        <w:tab w:val="center" w:pos="4153"/>
        <w:tab w:val="right" w:pos="8306"/>
      </w:tabs>
      <w:snapToGrid w:val="0"/>
      <w:jc w:val="left"/>
    </w:pPr>
    <w:rPr>
      <w:sz w:val="18"/>
    </w:rPr>
  </w:style>
  <w:style w:type="paragraph" w:customStyle="1" w:styleId="6">
    <w:name w:val="一级标题1"/>
    <w:basedOn w:val="1"/>
    <w:qFormat/>
    <w:uiPriority w:val="0"/>
    <w:pPr>
      <w:keepNext/>
      <w:keepLines/>
      <w:spacing w:before="312" w:beforeLines="100" w:after="312" w:afterLines="100" w:line="480" w:lineRule="auto"/>
      <w:outlineLvl w:val="0"/>
    </w:pPr>
    <w:rPr>
      <w:rFonts w:ascii="Times New Roman" w:hAnsi="Times New Roman" w:eastAsia="方正小标宋_GBK" w:cs="Times New Roman"/>
      <w:bCs/>
      <w:kern w:val="44"/>
      <w:sz w:val="40"/>
      <w:szCs w:val="40"/>
    </w:rPr>
  </w:style>
  <w:style w:type="paragraph" w:customStyle="1" w:styleId="7">
    <w:name w:val="图"/>
    <w:basedOn w:val="1"/>
    <w:qFormat/>
    <w:uiPriority w:val="0"/>
    <w:pPr>
      <w:widowControl/>
      <w:spacing w:before="100" w:beforeAutospacing="1" w:after="100" w:afterAutospacing="1"/>
      <w:jc w:val="center"/>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2024-07-18T08:20:00Z</dcterms:created>
  <dc:creator>徐建冬</dc:creator>
  <cp:lastModifiedBy>徐建冬</cp:lastModifiedBy>
  <dcterms:modified xsi:type="dcterms:W3CDTF">2024-07-18T08:20:36Z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042E240C85824F029E16DE761D424CB5_11</vt:lpwstr>
  </property>
</Properties>
</file>