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156" w:beforeLines="50" w:after="156" w:afterLines="50"/>
        <w:rPr>
          <w:rFonts w:ascii="黑体" w:hAnsi="黑体" w:eastAsia="黑体"/>
          <w:sz w:val="32"/>
          <w:szCs w:val="32"/>
        </w:rPr>
      </w:pPr>
      <w:r>
        <w:rPr>
          <w:rFonts w:hint="eastAsia" w:ascii="黑体" w:hAnsi="黑体" w:eastAsia="黑体"/>
          <w:sz w:val="32"/>
          <w:szCs w:val="32"/>
        </w:rPr>
        <w:t>附件</w:t>
      </w:r>
      <w:r>
        <w:rPr>
          <w:rFonts w:hint="default" w:ascii="黑体" w:hAnsi="黑体" w:eastAsia="黑体"/>
          <w:sz w:val="32"/>
          <w:szCs w:val="32"/>
          <w:lang w:val="en-US"/>
        </w:rPr>
        <w:t>3</w:t>
      </w:r>
    </w:p>
    <w:p>
      <w:pPr>
        <w:spacing w:line="360" w:lineRule="auto"/>
        <w:jc w:val="center"/>
        <w:rPr>
          <w:rFonts w:ascii="华文楷体" w:hAnsi="华文楷体" w:eastAsia="华文楷体" w:cs="华文楷体"/>
          <w:b/>
          <w:bCs/>
          <w:sz w:val="32"/>
          <w:szCs w:val="32"/>
        </w:rPr>
      </w:pPr>
      <w:bookmarkStart w:id="0" w:name="_GoBack"/>
      <w:r>
        <w:rPr>
          <w:rFonts w:hint="eastAsia" w:ascii="华文楷体" w:hAnsi="华文楷体" w:eastAsia="华文楷体" w:cs="华文楷体"/>
          <w:b/>
          <w:bCs/>
          <w:sz w:val="32"/>
          <w:szCs w:val="32"/>
        </w:rPr>
        <w:t>汕尾市“无废城市”建设项目清单</w:t>
      </w:r>
    </w:p>
    <w:bookmarkEnd w:id="0"/>
    <w:tbl>
      <w:tblPr>
        <w:tblStyle w:val="13"/>
        <w:tblW w:w="49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003"/>
        <w:gridCol w:w="1572"/>
        <w:gridCol w:w="3155"/>
        <w:gridCol w:w="741"/>
        <w:gridCol w:w="915"/>
        <w:gridCol w:w="938"/>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69" w:type="pct"/>
            <w:noWrap w:val="0"/>
            <w:vAlign w:val="center"/>
          </w:tcPr>
          <w:p>
            <w:pPr>
              <w:adjustRightInd w:val="0"/>
              <w:snapToGrid w:val="0"/>
              <w:jc w:val="center"/>
              <w:rPr>
                <w:rFonts w:ascii="Times New Roman" w:hAnsi="Times New Roman" w:eastAsia="宋体" w:cs="Times New Roman"/>
                <w:b/>
                <w:bCs/>
                <w:kern w:val="0"/>
                <w:sz w:val="21"/>
                <w:szCs w:val="21"/>
              </w:rPr>
            </w:pPr>
            <w:r>
              <w:rPr>
                <w:rFonts w:ascii="Times New Roman" w:hAnsi="Times New Roman" w:eastAsia="宋体" w:cs="Times New Roman"/>
                <w:b/>
                <w:bCs/>
                <w:kern w:val="0"/>
                <w:sz w:val="21"/>
                <w:szCs w:val="21"/>
              </w:rPr>
              <w:t>序号</w:t>
            </w:r>
          </w:p>
        </w:tc>
        <w:tc>
          <w:tcPr>
            <w:tcW w:w="513"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项目名称</w:t>
            </w:r>
          </w:p>
        </w:tc>
        <w:tc>
          <w:tcPr>
            <w:tcW w:w="1614"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建设内容</w:t>
            </w:r>
          </w:p>
        </w:tc>
        <w:tc>
          <w:tcPr>
            <w:tcW w:w="379"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完成时限</w:t>
            </w:r>
          </w:p>
        </w:tc>
        <w:tc>
          <w:tcPr>
            <w:tcW w:w="468"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hint="eastAsia" w:ascii="Times New Roman" w:hAnsi="Times New Roman" w:eastAsia="宋体" w:cs="Times New Roman"/>
                <w:b/>
                <w:bCs/>
                <w:color w:val="000000"/>
                <w:kern w:val="0"/>
                <w:sz w:val="21"/>
                <w:szCs w:val="21"/>
              </w:rPr>
              <w:t>牵头</w:t>
            </w:r>
            <w:r>
              <w:rPr>
                <w:rFonts w:ascii="Times New Roman" w:hAnsi="Times New Roman" w:eastAsia="宋体" w:cs="Times New Roman"/>
                <w:b/>
                <w:bCs/>
                <w:color w:val="000000"/>
                <w:kern w:val="0"/>
                <w:sz w:val="21"/>
                <w:szCs w:val="21"/>
              </w:rPr>
              <w:t>单位</w:t>
            </w:r>
          </w:p>
        </w:tc>
        <w:tc>
          <w:tcPr>
            <w:tcW w:w="480"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hint="eastAsia" w:ascii="Times New Roman" w:hAnsi="Times New Roman" w:eastAsia="宋体" w:cs="Times New Roman"/>
                <w:b/>
                <w:bCs/>
                <w:color w:val="000000"/>
                <w:kern w:val="0"/>
                <w:sz w:val="21"/>
                <w:szCs w:val="21"/>
              </w:rPr>
              <w:t>实施主体</w:t>
            </w:r>
          </w:p>
        </w:tc>
        <w:tc>
          <w:tcPr>
            <w:tcW w:w="472" w:type="pct"/>
            <w:noWrap w:val="0"/>
            <w:vAlign w:val="center"/>
          </w:tcPr>
          <w:p>
            <w:pPr>
              <w:adjustRightInd w:val="0"/>
              <w:snapToGrid w:val="0"/>
              <w:spacing w:line="300" w:lineRule="exact"/>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restar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工业</w:t>
            </w:r>
          </w:p>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低碳示范园区建设项目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以减污降碳为导向，充分融入绿色低碳环保理念，促进园区内企业采用能源资源综合利用生产模式，建立健全固废循环利用体系，打造</w:t>
            </w:r>
            <w:r>
              <w:rPr>
                <w:rFonts w:hint="eastAsia" w:ascii="Times New Roman" w:hAnsi="Times New Roman" w:eastAsia="宋体" w:cs="Times New Roman"/>
                <w:color w:val="000000"/>
                <w:kern w:val="0"/>
                <w:sz w:val="21"/>
                <w:szCs w:val="21"/>
              </w:rPr>
              <w:t>1个</w:t>
            </w:r>
            <w:r>
              <w:rPr>
                <w:rFonts w:ascii="Times New Roman" w:hAnsi="Times New Roman" w:eastAsia="宋体" w:cs="Times New Roman"/>
                <w:color w:val="000000"/>
                <w:kern w:val="0"/>
                <w:sz w:val="21"/>
                <w:szCs w:val="21"/>
              </w:rPr>
              <w:t>低碳示范园区样板。</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市发展改革局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汕尾高新区管委会</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汕尾比亚迪实业有限公司动力模组梯次利用项目</w:t>
            </w:r>
          </w:p>
        </w:tc>
        <w:tc>
          <w:tcPr>
            <w:tcW w:w="161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开展退役锂离子动力蓄电池梯次利用，占地面积17272.25m</w:t>
            </w:r>
            <w:r>
              <w:rPr>
                <w:rFonts w:hint="eastAsia" w:ascii="Times New Roman" w:hAnsi="Times New Roman" w:eastAsia="宋体" w:cs="Times New Roman"/>
                <w:color w:val="000000"/>
                <w:kern w:val="0"/>
                <w:sz w:val="21"/>
                <w:szCs w:val="21"/>
                <w:vertAlign w:val="superscript"/>
              </w:rPr>
              <w:t>2</w:t>
            </w:r>
            <w:r>
              <w:rPr>
                <w:rFonts w:hint="eastAsia" w:ascii="Times New Roman" w:hAnsi="Times New Roman" w:eastAsia="宋体" w:cs="Times New Roman"/>
                <w:color w:val="000000"/>
                <w:kern w:val="0"/>
                <w:sz w:val="21"/>
                <w:szCs w:val="21"/>
              </w:rPr>
              <w:t>，建筑面积53146.5m</w:t>
            </w:r>
            <w:r>
              <w:rPr>
                <w:rFonts w:hint="eastAsia" w:ascii="Times New Roman" w:hAnsi="Times New Roman" w:eastAsia="宋体" w:cs="Times New Roman"/>
                <w:color w:val="000000"/>
                <w:kern w:val="0"/>
                <w:sz w:val="21"/>
                <w:szCs w:val="21"/>
                <w:vertAlign w:val="superscript"/>
              </w:rPr>
              <w:t>3</w:t>
            </w:r>
            <w:r>
              <w:rPr>
                <w:rFonts w:hint="eastAsia" w:ascii="Times New Roman" w:hAnsi="Times New Roman" w:eastAsia="宋体" w:cs="Times New Roman"/>
                <w:color w:val="000000"/>
                <w:kern w:val="0"/>
                <w:sz w:val="21"/>
                <w:szCs w:val="21"/>
              </w:rPr>
              <w:t>，主要产品为梯次电池约80万pcs/a（约2565pcs/d）。包括动力电池电芯约66.7万pcs/a（0.48GWh/a），动力电池模组约13.3万pcs/a（0.32GWh/a）。</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202</w:t>
            </w:r>
            <w:r>
              <w:rPr>
                <w:rFonts w:ascii="Times New Roman" w:hAnsi="Times New Roman" w:eastAsia="宋体" w:cs="Times New Roman"/>
                <w:color w:val="000000"/>
                <w:kern w:val="0"/>
                <w:sz w:val="21"/>
                <w:szCs w:val="21"/>
              </w:rPr>
              <w:t>4</w:t>
            </w:r>
            <w:r>
              <w:rPr>
                <w:rFonts w:hint="eastAsia" w:ascii="Times New Roman" w:hAnsi="Times New Roman" w:eastAsia="宋体" w:cs="Times New Roman"/>
                <w:color w:val="000000"/>
                <w:kern w:val="0"/>
                <w:sz w:val="21"/>
                <w:szCs w:val="21"/>
              </w:rPr>
              <w:t>年</w:t>
            </w:r>
          </w:p>
        </w:tc>
        <w:tc>
          <w:tcPr>
            <w:tcW w:w="468" w:type="pct"/>
            <w:noWrap w:val="0"/>
            <w:vAlign w:val="center"/>
          </w:tcPr>
          <w:p>
            <w:pPr>
              <w:adjustRightInd w:val="0"/>
              <w:snapToGrid w:val="0"/>
              <w:spacing w:line="300" w:lineRule="exact"/>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0"/>
                <w:szCs w:val="21"/>
              </w:rPr>
              <w:t>汕尾高新区管委会、</w:t>
            </w:r>
            <w:r>
              <w:rPr>
                <w:rFonts w:hint="eastAsia" w:ascii="Times New Roman" w:hAnsi="Times New Roman" w:cs="Times New Roman"/>
                <w:color w:val="000000"/>
                <w:kern w:val="0"/>
                <w:sz w:val="21"/>
                <w:szCs w:val="21"/>
                <w:lang w:eastAsia="zh-CN"/>
              </w:rPr>
              <w:t>市工业和信息化局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汕尾比亚迪实业有限公司</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10440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1"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restar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危废</w:t>
            </w:r>
          </w:p>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广东金东环境科技产业园建设项目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完成项目</w:t>
            </w:r>
            <w:r>
              <w:rPr>
                <w:rFonts w:ascii="Times New Roman" w:hAnsi="Times New Roman" w:eastAsia="宋体" w:cs="Times New Roman"/>
                <w:color w:val="000000"/>
                <w:kern w:val="0"/>
                <w:sz w:val="21"/>
                <w:szCs w:val="21"/>
                <w:lang w:bidi="ar"/>
              </w:rPr>
              <w:t>一期建设，包括：资源化利用和处置外部工业危险废物9.8万t/a，收集转运危险700t/a。其中焚烧3.3万t/a（包括厂外3万t/a +厂内0.3万t/a）、物化处理3.4万t/a、蚀刻废液综合利用2万t/a、含铜废液综合利用0.9万t/a、废包装桶清洗回收0.5万t/a、收集转运含汞废物200t/a和其他废物500t/a。</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陆丰市人民政府</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金东环境科技</w:t>
            </w:r>
            <w:r>
              <w:rPr>
                <w:rFonts w:hint="eastAsia" w:ascii="Times New Roman" w:hAnsi="Times New Roman" w:eastAsia="宋体" w:cs="Times New Roman"/>
                <w:color w:val="000000"/>
                <w:kern w:val="0"/>
                <w:sz w:val="21"/>
                <w:szCs w:val="21"/>
              </w:rPr>
              <w:t>有限公司</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lang w:bidi="ar"/>
              </w:rPr>
              <w:t>40560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医疗废物智能收集点建设</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选择1-2个县（市、区）开展医疗废物智能收集试点工作，统筹考虑本辖区内医疗机构分布情况以及医疗废物处置中心收集处置能力，合理布局医疗废物智能收集点。</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市卫生健康局</w:t>
            </w:r>
            <w:r>
              <w:rPr>
                <w:rFonts w:ascii="Times New Roman" w:hAnsi="Times New Roman" w:eastAsia="宋体" w:cs="Times New Roman"/>
                <w:color w:val="000000"/>
                <w:kern w:val="0"/>
                <w:sz w:val="21"/>
                <w:szCs w:val="21"/>
              </w:rPr>
              <w:t>、市生态环境局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汕尾市医疗废物集中处置中心</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小微企业综合收集项目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依托现有社会源危险废物收集单位，推动小微企业危险废物综合收集处置项目建设，完善小微企业危险废物收集体系，有效打通小微企业危险废物收集“最后一公里”。</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市生态环境局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农业</w:t>
            </w:r>
          </w:p>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农膜体系建设示范点项目（地膜科学使用回收试点工作）</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积极开展地膜回收试点工作，鼓励使用加厚高强度地膜和全生物降解地膜，持续推进农膜体系建设。</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市</w:t>
            </w:r>
            <w:r>
              <w:rPr>
                <w:rFonts w:ascii="Times New Roman" w:hAnsi="Times New Roman" w:eastAsia="宋体" w:cs="Times New Roman"/>
                <w:color w:val="000000"/>
                <w:kern w:val="0"/>
                <w:sz w:val="21"/>
                <w:szCs w:val="21"/>
              </w:rPr>
              <w:t>农业农村局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各县（市、区）农业农村局</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restar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生活</w:t>
            </w:r>
          </w:p>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汕尾市餐厨垃圾无害化处理项目一期工程</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项目选址于汕尾市生活垃圾无害化处理中心西侧，建设规模200吨/天，服务区域为城区、海丰县，建设内容包括餐厨垃圾预处理车间、成品油罐、沼气净化设备、沼气发电间及锅炉房、封闭式沼气火炬及污水预处理系统等，拟采用连续式两相湿法中温厌氧消化工艺。</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市住房城乡建设局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汕尾红海湾经济开发区垃圾处理项目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新建三座街道级垃圾转运站，建筑面积1500平方米；新建一批智能地埋式垃圾收集点，以及垃圾转运信息化系统等相关配套设施。</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市住房城乡建设局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红海湾经济开发区管委会</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生活垃圾分类收运设施建设项目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补充完善全市生活垃圾分类收运桶、收集点、分类收运车辆及相关宣传设施，对部分不符合要求的转运站进行升级改造。</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市住房城乡建设局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各县（市、区）人民政府，红海湾经济开发区、华侨管理区管委会按职能分工负责</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1"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大件垃圾拆解中心建设项目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在汕尾市各县（市、区）选址建设3座大件垃圾拆解中心，用于居民大件垃圾的拆解。</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城区、陆丰市、海丰县人民政府</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城区、陆丰市、海丰县人民政府按职能分工负责</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有机易腐垃圾处理设施建设项目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在汕尾市选址建设1处园林绿化垃圾、农贸市场有机垃圾等有机易腐垃圾处理设施，开展有机易腐垃圾资源化利用试点。</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城区城管局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城区城管局</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3</w:t>
            </w:r>
            <w:r>
              <w:rPr>
                <w:rFonts w:ascii="Times New Roman" w:hAnsi="Times New Roman" w:eastAsia="宋体" w:cs="Times New Roman"/>
                <w:color w:val="000000"/>
                <w:kern w:val="0"/>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再生资源分拣中心建设项目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在各县(市、区)已有再生资源分拣中心的基础上进行升级、改造、整合，提高再生资源分拣能力。</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市商务局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各县（市、区）人民政府按职能分工负责</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8"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restar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建筑</w:t>
            </w:r>
          </w:p>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建筑垃圾转运点建设项目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在各县（市、区）各乡镇分批建设建筑垃圾转运点，集中收集建筑垃圾，解决建筑垃圾回收处置问题。</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市住房城乡建设局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城区城管局，海丰县、陆丰市、陆河县住房和城乡建设局，红海湾经济开发区、华侨管理区自然资源和建设局按职能分工负责</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1</w:t>
            </w:r>
            <w:r>
              <w:rPr>
                <w:rFonts w:ascii="Times New Roman" w:hAnsi="Times New Roman" w:eastAsia="宋体" w:cs="Times New Roman"/>
                <w:color w:val="000000"/>
                <w:kern w:val="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陆河县建筑垃圾资源化利用厂</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项目选址于陆河县东坑镇开发区，设计规模2万立方米/年。</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陆河县住建局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东坑镇</w:t>
            </w:r>
            <w:r>
              <w:rPr>
                <w:rFonts w:hint="eastAsia" w:ascii="Times New Roman" w:hAnsi="Times New Roman" w:eastAsia="宋体" w:cs="Times New Roman"/>
                <w:color w:val="000000"/>
                <w:kern w:val="0"/>
                <w:sz w:val="21"/>
                <w:szCs w:val="21"/>
              </w:rPr>
              <w:t>人民政府</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5</w:t>
            </w:r>
            <w:r>
              <w:rPr>
                <w:rFonts w:ascii="Times New Roman" w:hAnsi="Times New Roman" w:eastAsia="宋体" w:cs="Times New Roman"/>
                <w:color w:val="000000"/>
                <w:kern w:val="0"/>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陆丰市恒元再生资源有限公司建筑垃圾及污泥回收再利用处理项目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项目选址于陆丰市城东街道双寨旧寨村石龟山，以建筑垃圾和城镇污水处理厂污泥为原料，生产资源化利用产品，项目设计规模60万立方米/年。</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陆丰市住房城乡建设局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城东街道</w:t>
            </w:r>
            <w:r>
              <w:rPr>
                <w:rFonts w:hint="eastAsia" w:ascii="Times New Roman" w:hAnsi="Times New Roman" w:eastAsia="宋体" w:cs="Times New Roman"/>
                <w:color w:val="000000"/>
                <w:kern w:val="0"/>
                <w:sz w:val="21"/>
                <w:szCs w:val="21"/>
              </w:rPr>
              <w:t>人民政府</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3</w:t>
            </w:r>
            <w:r>
              <w:rPr>
                <w:rFonts w:ascii="Times New Roman" w:hAnsi="Times New Roman" w:eastAsia="宋体" w:cs="Times New Roman"/>
                <w:color w:val="000000"/>
                <w:kern w:val="0"/>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海丰县建筑垃圾资源化综合利用项目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在汕尾市海丰县可塘镇双桂山建设一个建筑垃圾资源化利用项目，服务范围为海丰县，设计处理能力10万吨/年。其中建筑渣土、泥浆等约8万吨/年，拆除垃圾、装修垃圾约2万吨/年；年产1650万块再生免烧砖。</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海丰县</w:t>
            </w:r>
            <w:r>
              <w:rPr>
                <w:rFonts w:hint="eastAsia" w:ascii="Times New Roman" w:hAnsi="Times New Roman" w:eastAsia="宋体" w:cs="Times New Roman"/>
                <w:color w:val="000000"/>
                <w:kern w:val="0"/>
                <w:sz w:val="21"/>
                <w:szCs w:val="21"/>
              </w:rPr>
              <w:t>住房和城乡建设局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可塘镇</w:t>
            </w:r>
            <w:r>
              <w:rPr>
                <w:rFonts w:hint="eastAsia" w:ascii="Times New Roman" w:hAnsi="Times New Roman" w:eastAsia="宋体" w:cs="Times New Roman"/>
                <w:color w:val="000000"/>
                <w:kern w:val="0"/>
                <w:sz w:val="21"/>
                <w:szCs w:val="21"/>
              </w:rPr>
              <w:t>人民政府</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4353.76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restar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海洋</w:t>
            </w:r>
          </w:p>
          <w:p>
            <w:pPr>
              <w:adjustRightInd w:val="0"/>
              <w:snapToGrid w:val="0"/>
              <w:spacing w:line="300" w:lineRule="exact"/>
              <w:jc w:val="center"/>
              <w:rPr>
                <w:rFonts w:ascii="Times New Roman" w:hAnsi="Times New Roman" w:eastAsia="宋体" w:cs="Times New Roman"/>
                <w:color w:val="000000"/>
                <w:kern w:val="0"/>
                <w:sz w:val="21"/>
                <w:szCs w:val="21"/>
                <w:highlight w:val="yellow"/>
              </w:rPr>
            </w:pPr>
            <w:r>
              <w:rPr>
                <w:rFonts w:ascii="Times New Roman" w:hAnsi="Times New Roman" w:eastAsia="宋体" w:cs="Times New Roman"/>
                <w:color w:val="000000"/>
                <w:kern w:val="0"/>
                <w:sz w:val="21"/>
                <w:szCs w:val="21"/>
              </w:rPr>
              <w:t>领域</w:t>
            </w: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牡蛎壳资源化利用项目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建设牡蛎壳资源化利用示范项目建设，提高废弃牡蛎壳资源化利用率。</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红草镇人民政府</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红草镇人民政府</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highlight w:val="yellow"/>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废旧渔船、渔具回收项目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开展渔具清理，</w:t>
            </w:r>
            <w:r>
              <w:rPr>
                <w:rFonts w:ascii="Times New Roman" w:hAnsi="Times New Roman" w:eastAsia="宋体" w:cs="Times New Roman"/>
                <w:color w:val="000000"/>
                <w:kern w:val="0"/>
                <w:sz w:val="21"/>
                <w:szCs w:val="21"/>
              </w:rPr>
              <w:t>在主要的渔港码头设置废旧渔船、渔具回收点10个和集中处置中心2个</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2025年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市农业农村局、市生态环境局</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市农业农村局、市生态环境局</w:t>
            </w:r>
            <w:r>
              <w:rPr>
                <w:rFonts w:hint="eastAsia" w:ascii="Times New Roman" w:hAnsi="Times New Roman" w:eastAsia="宋体" w:cs="Times New Roman"/>
                <w:color w:val="000000"/>
                <w:kern w:val="0"/>
                <w:sz w:val="21"/>
                <w:szCs w:val="21"/>
              </w:rPr>
              <w:t>按职责分工负责</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遮浪港施公寮半岛岸滩环境整治项目</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对施公寮半岛进行垃圾清理及环境整治、</w:t>
            </w:r>
            <w:r>
              <w:rPr>
                <w:rFonts w:hint="eastAsia" w:ascii="Times New Roman" w:hAnsi="Times New Roman" w:eastAsia="宋体" w:cs="Times New Roman"/>
                <w:color w:val="000000"/>
                <w:kern w:val="0"/>
                <w:sz w:val="21"/>
                <w:szCs w:val="21"/>
              </w:rPr>
              <w:t>防护林种植</w:t>
            </w:r>
            <w:r>
              <w:rPr>
                <w:rFonts w:ascii="Times New Roman" w:hAnsi="Times New Roman" w:eastAsia="宋体" w:cs="Times New Roman"/>
                <w:color w:val="000000"/>
                <w:kern w:val="0"/>
                <w:sz w:val="21"/>
                <w:szCs w:val="21"/>
              </w:rPr>
              <w:t>37.5</w:t>
            </w:r>
            <w:r>
              <w:rPr>
                <w:rFonts w:hint="eastAsia" w:ascii="Times New Roman" w:hAnsi="Times New Roman" w:eastAsia="宋体" w:cs="Times New Roman"/>
                <w:color w:val="000000"/>
                <w:kern w:val="0"/>
                <w:sz w:val="21"/>
                <w:szCs w:val="21"/>
              </w:rPr>
              <w:t>万株，安装</w:t>
            </w:r>
            <w:r>
              <w:rPr>
                <w:rFonts w:ascii="Times New Roman" w:hAnsi="Times New Roman" w:eastAsia="宋体" w:cs="Times New Roman"/>
                <w:color w:val="000000"/>
                <w:kern w:val="0"/>
                <w:sz w:val="21"/>
                <w:szCs w:val="21"/>
              </w:rPr>
              <w:t>30</w:t>
            </w:r>
            <w:r>
              <w:rPr>
                <w:rFonts w:hint="eastAsia" w:ascii="Times New Roman" w:hAnsi="Times New Roman" w:eastAsia="宋体" w:cs="Times New Roman"/>
                <w:color w:val="000000"/>
                <w:kern w:val="0"/>
                <w:sz w:val="21"/>
                <w:szCs w:val="21"/>
              </w:rPr>
              <w:t>套视频监控设备</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2024年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红海湾经济开发区管委会</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红海湾经济开发区管委会</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9" w:type="pct"/>
            <w:noWrap w:val="0"/>
            <w:vAlign w:val="center"/>
          </w:tcPr>
          <w:p>
            <w:pPr>
              <w:pStyle w:val="12"/>
              <w:numPr>
                <w:ilvl w:val="0"/>
                <w:numId w:val="1"/>
              </w:numPr>
              <w:jc w:val="right"/>
              <w:rPr>
                <w:rFonts w:ascii="Times New Roman" w:hAnsi="Times New Roman" w:cs="Times New Roman"/>
                <w:kern w:val="0"/>
                <w:sz w:val="21"/>
              </w:rPr>
            </w:pPr>
          </w:p>
        </w:tc>
        <w:tc>
          <w:tcPr>
            <w:tcW w:w="513" w:type="pct"/>
            <w:vMerge w:val="continue"/>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p>
        </w:tc>
        <w:tc>
          <w:tcPr>
            <w:tcW w:w="80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kern w:val="0"/>
                <w:sz w:val="21"/>
                <w:szCs w:val="21"/>
              </w:rPr>
              <w:t>白沙湖美丽海湾</w:t>
            </w:r>
            <w:r>
              <w:rPr>
                <w:rFonts w:hint="eastAsia" w:ascii="Times New Roman" w:hAnsi="Times New Roman" w:eastAsia="宋体" w:cs="Times New Roman"/>
                <w:kern w:val="0"/>
                <w:sz w:val="21"/>
                <w:szCs w:val="21"/>
              </w:rPr>
              <w:t>建设</w:t>
            </w:r>
          </w:p>
        </w:tc>
        <w:tc>
          <w:tcPr>
            <w:tcW w:w="1614"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开展白沙湖海滩垃圾等清理以及推进建设美丽海湾</w:t>
            </w:r>
          </w:p>
        </w:tc>
        <w:tc>
          <w:tcPr>
            <w:tcW w:w="379"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2</w:t>
            </w:r>
            <w:r>
              <w:rPr>
                <w:rFonts w:ascii="Times New Roman" w:hAnsi="Times New Roman" w:eastAsia="宋体" w:cs="Times New Roman"/>
                <w:color w:val="000000"/>
                <w:kern w:val="0"/>
                <w:sz w:val="21"/>
                <w:szCs w:val="21"/>
              </w:rPr>
              <w:t>024</w:t>
            </w:r>
            <w:r>
              <w:rPr>
                <w:rFonts w:hint="eastAsia" w:ascii="Times New Roman" w:hAnsi="Times New Roman" w:eastAsia="宋体" w:cs="Times New Roman"/>
                <w:color w:val="000000"/>
                <w:kern w:val="0"/>
                <w:sz w:val="21"/>
                <w:szCs w:val="21"/>
              </w:rPr>
              <w:t>年</w:t>
            </w:r>
          </w:p>
        </w:tc>
        <w:tc>
          <w:tcPr>
            <w:tcW w:w="468"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红海湾经济开发区管委会</w:t>
            </w:r>
          </w:p>
        </w:tc>
        <w:tc>
          <w:tcPr>
            <w:tcW w:w="480"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红海湾经济开发区管委会</w:t>
            </w:r>
          </w:p>
        </w:tc>
        <w:tc>
          <w:tcPr>
            <w:tcW w:w="47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3</w:t>
            </w:r>
            <w:r>
              <w:rPr>
                <w:rFonts w:ascii="Times New Roman" w:hAnsi="Times New Roman" w:eastAsia="宋体" w:cs="Times New Roman"/>
                <w:color w:val="000000"/>
                <w:kern w:val="0"/>
                <w:sz w:val="21"/>
                <w:szCs w:val="21"/>
              </w:rPr>
              <w:t>000</w:t>
            </w:r>
          </w:p>
        </w:tc>
      </w:tr>
    </w:tbl>
    <w:p/>
    <w:p>
      <w:pPr>
        <w:pStyle w:val="2"/>
        <w:rPr>
          <w:rFonts w:hint="eastAsia" w:ascii="仿宋_GB2312" w:hAnsi="宋体" w:eastAsia="仿宋_GB2312" w:cs="Times New Roman"/>
          <w:kern w:val="2"/>
          <w:sz w:val="32"/>
          <w:szCs w:val="32"/>
          <w:lang w:val="en-US" w:eastAsia="zh-CN" w:bidi="ar-SA"/>
        </w:rPr>
      </w:pPr>
    </w:p>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E5E7A"/>
    <w:multiLevelType w:val="multilevel"/>
    <w:tmpl w:val="1D5E5E7A"/>
    <w:lvl w:ilvl="0" w:tentative="0">
      <w:start w:val="1"/>
      <w:numFmt w:val="decimal"/>
      <w:lvlText w:val="%1"/>
      <w:lvlJc w:val="left"/>
      <w:pPr>
        <w:ind w:left="420" w:hanging="4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a11a0ad9-7fd3-41c2-be5b-4a5463d1a951"/>
  </w:docVars>
  <w:rsids>
    <w:rsidRoot w:val="1D4157B7"/>
    <w:rsid w:val="1D4157B7"/>
    <w:rsid w:val="2197576F"/>
    <w:rsid w:val="7194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2"/>
    <w:basedOn w:val="1"/>
    <w:next w:val="1"/>
    <w:uiPriority w:val="0"/>
    <w:pPr>
      <w:ind w:leftChars="200"/>
    </w:pPr>
  </w:style>
  <w:style w:type="paragraph" w:styleId="3">
    <w:name w:val="Normal Indent"/>
    <w:basedOn w:val="1"/>
    <w:qFormat/>
    <w:uiPriority w:val="0"/>
    <w:pPr>
      <w:ind w:firstLine="420"/>
    </w:pPr>
    <w:rPr>
      <w:rFonts w:ascii="Calibri" w:hAnsi="Calibri" w:eastAsia="宋体" w:cs="Times New Roman"/>
      <w:szCs w:val="24"/>
    </w:rPr>
  </w:style>
  <w:style w:type="paragraph" w:styleId="4">
    <w:name w:val="Body Text Indent"/>
    <w:basedOn w:val="1"/>
    <w:unhideWhenUsed/>
    <w:qFormat/>
    <w:uiPriority w:val="99"/>
    <w:pPr>
      <w:spacing w:after="120"/>
      <w:ind w:left="420" w:leftChars="200"/>
    </w:pPr>
    <w:rPr>
      <w:rFonts w:ascii="Calibri" w:hAnsi="Calibri" w:eastAsia="宋体" w:cs="Times New Roman"/>
      <w:szCs w:val="2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Body Text First Indent 2"/>
    <w:basedOn w:val="4"/>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一级标题1"/>
    <w:basedOn w:val="1"/>
    <w:qFormat/>
    <w:uiPriority w:val="0"/>
    <w:pPr>
      <w:keepNext/>
      <w:keepLines/>
      <w:spacing w:before="312" w:beforeLines="100" w:after="312" w:afterLines="100" w:line="480" w:lineRule="auto"/>
      <w:outlineLvl w:val="0"/>
    </w:pPr>
    <w:rPr>
      <w:rFonts w:ascii="Times New Roman" w:hAnsi="Times New Roman" w:eastAsia="方正小标宋_GBK" w:cs="Times New Roman"/>
      <w:bCs/>
      <w:kern w:val="44"/>
      <w:sz w:val="40"/>
      <w:szCs w:val="40"/>
    </w:rPr>
  </w:style>
  <w:style w:type="paragraph" w:customStyle="1" w:styleId="11">
    <w:name w:val="图"/>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
    <w:name w:val="表格内容"/>
    <w:basedOn w:val="3"/>
    <w:qFormat/>
    <w:uiPriority w:val="0"/>
    <w:pPr>
      <w:jc w:val="center"/>
    </w:pPr>
    <w:rPr>
      <w:rFonts w:ascii="宋体" w:hAnsi="宋体" w:eastAsia="宋体"/>
      <w:szCs w:val="21"/>
    </w:rPr>
  </w:style>
  <w:style w:type="table" w:customStyle="1" w:styleId="13">
    <w:name w:val="网格型1"/>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5408</Words>
  <Characters>5546</Characters>
  <Lines>0</Lines>
  <Paragraphs>0</Paragraphs>
  <TotalTime>0</TotalTime>
  <ScaleCrop>false</ScaleCrop>
  <LinksUpToDate>false</LinksUpToDate>
  <CharactersWithSpaces>5547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2024-07-18T08:20:00Z</dcterms:created>
  <dc:creator>徐建冬</dc:creator>
  <cp:lastModifiedBy>徐建冬</cp:lastModifiedBy>
  <dcterms:modified xsi:type="dcterms:W3CDTF">2024-07-18T08:21:40Z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CA325325337740FC8869206ADE257967_13</vt:lpwstr>
  </property>
</Properties>
</file>