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关于服务现代化产业体系建设的若干措施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为深入贯彻国家、省关于</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现代化产业体系的战略部署，全面落实我市“1+2+9”工作安排，充分发挥市场监管职能作用，着力激发经营主体活力，提升产业核心竞争力，筑牢安全发展底线，营造公平有序市场环境，全力服务我市现代化产业体系高质量发展，特制定如下措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一、优化要素供给与制度环境，激发</w:t>
      </w:r>
      <w:r>
        <w:rPr>
          <w:rFonts w:hint="eastAsia" w:ascii="黑体" w:hAnsi="黑体" w:eastAsia="黑体" w:cs="黑体"/>
          <w:sz w:val="32"/>
          <w:szCs w:val="32"/>
          <w:lang w:eastAsia="zh-CN"/>
        </w:rPr>
        <w:t>经营</w:t>
      </w:r>
      <w:r>
        <w:rPr>
          <w:rFonts w:hint="eastAsia" w:ascii="黑体" w:hAnsi="黑体" w:eastAsia="黑体" w:cs="黑体"/>
          <w:sz w:val="32"/>
          <w:szCs w:val="32"/>
        </w:rPr>
        <w:t>主体活力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深化商事制度改革。</w:t>
      </w:r>
      <w:r>
        <w:rPr>
          <w:rFonts w:hint="eastAsia" w:ascii="仿宋_GB2312" w:hAnsi="仿宋_GB2312" w:eastAsia="仿宋_GB2312" w:cs="仿宋_GB2312"/>
          <w:sz w:val="32"/>
          <w:szCs w:val="32"/>
        </w:rPr>
        <w:t>推行线上“一网通办”、线下“一窗通办”服务模式，以信息技术为依托，推动企业开办、信息变更、注销登记、迁移登记“一件事”一窗收件、一表填报、集成办理。深化“云辅导”服务，推行企业开办智能导办，提供实时政策解读和业务指导，构建优质高效的登记注册服务体系。</w:t>
      </w:r>
      <w:r>
        <w:rPr>
          <w:rFonts w:hint="eastAsia" w:ascii="仿宋_GB2312" w:hAnsi="仿宋_GB2312" w:eastAsia="仿宋_GB2312" w:cs="仿宋_GB2312"/>
          <w:b/>
          <w:bCs/>
          <w:sz w:val="32"/>
          <w:szCs w:val="32"/>
        </w:rPr>
        <w:t>（许可注册科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支持</w:t>
      </w:r>
      <w:r>
        <w:rPr>
          <w:rFonts w:hint="eastAsia" w:ascii="楷体" w:hAnsi="楷体" w:eastAsia="楷体" w:cs="楷体"/>
          <w:sz w:val="32"/>
          <w:szCs w:val="32"/>
          <w:lang w:eastAsia="zh-CN"/>
        </w:rPr>
        <w:t>经营</w:t>
      </w:r>
      <w:r>
        <w:rPr>
          <w:rFonts w:hint="eastAsia" w:ascii="楷体" w:hAnsi="楷体" w:eastAsia="楷体" w:cs="楷体"/>
          <w:sz w:val="32"/>
          <w:szCs w:val="32"/>
        </w:rPr>
        <w:t>主体发展壮大。</w:t>
      </w:r>
      <w:r>
        <w:rPr>
          <w:rFonts w:hint="eastAsia" w:ascii="仿宋_GB2312" w:hAnsi="仿宋_GB2312" w:eastAsia="仿宋_GB2312" w:cs="仿宋_GB2312"/>
          <w:sz w:val="32"/>
          <w:szCs w:val="32"/>
        </w:rPr>
        <w:t>持续优化行政审批服务，实现市场监管领域行政许可事项“网上办、一窗办”。建立重大产业项目、招商引资重点项目、战略性新兴产业项目“绿色服务通道”，提供“一对一”专员服务、帮办代办。发挥个体工商户发展部门间联席会议作用，优化服务供给，引导符合条件的个体工商户转型升级为企业。</w:t>
      </w:r>
      <w:r>
        <w:rPr>
          <w:rFonts w:hint="eastAsia" w:ascii="仿宋_GB2312" w:hAnsi="仿宋_GB2312" w:eastAsia="仿宋_GB2312" w:cs="仿宋_GB2312"/>
          <w:b/>
          <w:bCs/>
          <w:sz w:val="32"/>
          <w:szCs w:val="32"/>
        </w:rPr>
        <w:t>（许可注册科牵头，质量监督科、食品生产科、食品经营科、特种设备科、计量科、药品监管科、医疗器械科、化妆品科配合）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）创新融资服务模式。</w:t>
      </w:r>
      <w:r>
        <w:rPr>
          <w:rFonts w:hint="eastAsia" w:ascii="仿宋_GB2312" w:hAnsi="仿宋_GB2312" w:eastAsia="仿宋_GB2312" w:cs="仿宋_GB2312"/>
          <w:sz w:val="32"/>
          <w:szCs w:val="32"/>
        </w:rPr>
        <w:t>用好“质量贷”、知识产权质押融资等特色化助企融资工具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联合金融机构建立</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重点企业融资需求白名单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提供精准对接服务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加大对“专精特新”、高新技术企业和产业链关键环节企业的融资支持力度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降低融资成本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助力经营主体拓宽融资渠道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缓解资金压力，为</w:t>
      </w:r>
      <w:r>
        <w:rPr>
          <w:rFonts w:hint="eastAsia" w:ascii="仿宋_GB2312" w:hAnsi="仿宋_GB2312" w:eastAsia="仿宋_GB2312" w:cs="仿宋_GB2312"/>
          <w:sz w:val="32"/>
          <w:szCs w:val="32"/>
          <w:lang w:eastAsia="zh-CN"/>
        </w:rPr>
        <w:t>现代化产业体系建设</w:t>
      </w:r>
      <w:r>
        <w:rPr>
          <w:rFonts w:hint="eastAsia" w:ascii="仿宋_GB2312" w:hAnsi="仿宋_GB2312" w:eastAsia="仿宋_GB2312" w:cs="仿宋_GB2312"/>
          <w:sz w:val="32"/>
          <w:szCs w:val="32"/>
        </w:rPr>
        <w:t>注入</w:t>
      </w:r>
      <w:r>
        <w:rPr>
          <w:rFonts w:hint="eastAsia" w:ascii="仿宋_GB2312" w:hAnsi="仿宋_GB2312" w:eastAsia="仿宋_GB2312" w:cs="仿宋_GB2312"/>
          <w:sz w:val="32"/>
          <w:szCs w:val="32"/>
          <w:lang w:eastAsia="zh-CN"/>
        </w:rPr>
        <w:t>“金融活水”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质量发展科、</w:t>
      </w:r>
      <w:r>
        <w:rPr>
          <w:rFonts w:hint="eastAsia" w:ascii="仿宋_GB2312" w:hAnsi="仿宋_GB2312" w:eastAsia="仿宋_GB2312" w:cs="仿宋_GB2312"/>
          <w:sz w:val="32"/>
          <w:szCs w:val="32"/>
        </w:rPr>
        <w:t>知识产权促进科牵头）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推进经营主体信用体系建设。</w:t>
      </w:r>
      <w:r>
        <w:rPr>
          <w:rFonts w:hint="eastAsia" w:ascii="仿宋_GB2312" w:hAnsi="仿宋_GB2312" w:eastAsia="仿宋_GB2312" w:cs="仿宋_GB2312"/>
          <w:sz w:val="32"/>
          <w:szCs w:val="32"/>
        </w:rPr>
        <w:t>深化信用赋能，制定实施市场监管领域守信激励、失信惩戒和信用修复“三张清单”。常态化开展“信用修复服务年”活动，加强信用修复告知</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指导，便捷办理途径，提高政策知晓度，保障经营主体合法权益，营造“守信受益、失信受限”的产业信用环境。</w:t>
      </w:r>
      <w:r>
        <w:rPr>
          <w:rFonts w:hint="eastAsia" w:ascii="仿宋_GB2312" w:hAnsi="仿宋_GB2312" w:eastAsia="仿宋_GB2312" w:cs="仿宋_GB2312"/>
          <w:b/>
          <w:bCs/>
          <w:sz w:val="32"/>
          <w:szCs w:val="32"/>
        </w:rPr>
        <w:t>（信用风险监管科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二、强化质量技术基础支撑，推动产业提质升级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深入实施质量提升行动。</w:t>
      </w:r>
      <w:r>
        <w:rPr>
          <w:rFonts w:hint="eastAsia" w:ascii="仿宋_GB2312" w:hAnsi="仿宋_GB2312" w:eastAsia="仿宋_GB2312" w:cs="仿宋_GB2312"/>
          <w:sz w:val="32"/>
          <w:szCs w:val="32"/>
          <w:lang w:eastAsia="zh-CN"/>
        </w:rPr>
        <w:t>会同有关部门大力推进《汕尾市深入推进产品、工程和服务质量提升加快质量强市建设行动方案（2024—2025年）》，更大力度保障优质产品、工程和服务有效供给，助力形成新质生产力。围绕纺织服装、金银珠宝首饰、食品加工等传统产业及新能源、新能源汽车、高端装备制造等新兴产业，深化</w:t>
      </w:r>
      <w:r>
        <w:rPr>
          <w:rFonts w:hint="eastAsia" w:ascii="仿宋_GB2312" w:hAnsi="仿宋_GB2312" w:eastAsia="仿宋_GB2312" w:cs="仿宋_GB2312"/>
          <w:sz w:val="32"/>
          <w:szCs w:val="32"/>
        </w:rPr>
        <w:t>质量</w:t>
      </w:r>
      <w:r>
        <w:rPr>
          <w:rFonts w:hint="eastAsia" w:ascii="仿宋_GB2312" w:hAnsi="仿宋_GB2312" w:eastAsia="仿宋_GB2312" w:cs="仿宋_GB2312"/>
          <w:sz w:val="32"/>
          <w:szCs w:val="32"/>
          <w:lang w:eastAsia="zh-CN"/>
        </w:rPr>
        <w:t>强企强链强县“三强”行动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全面提升整体质量水平。针对质量安全监管中发现的突出质量问题，协调“产品医院”或技术机构为经营主体提供免费质量技术帮扶，帮助解决产品质量问题。加快推进汕尾市</w:t>
      </w:r>
      <w:r>
        <w:rPr>
          <w:rFonts w:hint="eastAsia" w:ascii="仿宋_GB2312" w:hAnsi="仿宋_GB2312" w:eastAsia="仿宋_GB2312" w:cs="仿宋_GB2312"/>
          <w:sz w:val="32"/>
          <w:szCs w:val="32"/>
        </w:rPr>
        <w:t>政府质量奖评选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树立汕尾质量标杆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强化获奖组织示范引领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支持企业导入卓越绩效管理模式。</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企业首席质量官</w:t>
      </w:r>
      <w:r>
        <w:rPr>
          <w:rFonts w:hint="default" w:ascii="仿宋_GB2312" w:hAnsi="仿宋_GB2312" w:eastAsia="仿宋_GB2312" w:cs="仿宋_GB2312"/>
          <w:sz w:val="32"/>
          <w:szCs w:val="32"/>
          <w:lang w:val="en"/>
        </w:rPr>
        <w:t>制度推广</w:t>
      </w:r>
      <w:r>
        <w:rPr>
          <w:rFonts w:hint="eastAsia" w:ascii="仿宋_GB2312" w:hAnsi="仿宋_GB2312" w:eastAsia="仿宋_GB2312" w:cs="仿宋_GB2312"/>
          <w:sz w:val="32"/>
          <w:szCs w:val="32"/>
          <w:lang w:eastAsia="zh-CN"/>
        </w:rPr>
        <w:t>力度，</w:t>
      </w:r>
      <w:r>
        <w:rPr>
          <w:rFonts w:hint="default" w:ascii="仿宋_GB2312" w:hAnsi="仿宋_GB2312" w:eastAsia="仿宋_GB2312" w:cs="仿宋_GB2312"/>
          <w:sz w:val="32"/>
          <w:szCs w:val="32"/>
          <w:lang w:val="en" w:eastAsia="zh-CN"/>
        </w:rPr>
        <w:t>推动</w:t>
      </w:r>
      <w:r>
        <w:rPr>
          <w:rFonts w:hint="eastAsia" w:ascii="仿宋_GB2312" w:hAnsi="仿宋_GB2312" w:eastAsia="仿宋_GB2312" w:cs="仿宋_GB2312"/>
          <w:sz w:val="32"/>
          <w:szCs w:val="32"/>
          <w:lang w:eastAsia="zh-CN"/>
        </w:rPr>
        <w:t>规上</w:t>
      </w:r>
      <w:r>
        <w:rPr>
          <w:rFonts w:hint="default" w:ascii="仿宋_GB2312" w:hAnsi="仿宋_GB2312" w:eastAsia="仿宋_GB2312" w:cs="仿宋_GB2312"/>
          <w:sz w:val="32"/>
          <w:szCs w:val="32"/>
          <w:lang w:val="en" w:eastAsia="zh-CN"/>
        </w:rPr>
        <w:t>工业</w:t>
      </w:r>
      <w:r>
        <w:rPr>
          <w:rFonts w:hint="eastAsia" w:ascii="仿宋_GB2312" w:hAnsi="仿宋_GB2312" w:eastAsia="仿宋_GB2312" w:cs="仿宋_GB2312"/>
          <w:sz w:val="32"/>
          <w:szCs w:val="32"/>
          <w:lang w:eastAsia="zh-CN"/>
        </w:rPr>
        <w:t>企业首席质量官制度全覆盖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rPr>
        <w:t>鼓励中小微企业设立质量责任人。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质量发展科、质量监督科、市质计所牵头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发挥标准引领作用。</w:t>
      </w:r>
      <w:r>
        <w:rPr>
          <w:rFonts w:hint="eastAsia" w:ascii="仿宋_GB2312" w:hAnsi="仿宋_GB2312" w:eastAsia="仿宋_GB2312" w:cs="仿宋_GB2312"/>
          <w:sz w:val="32"/>
          <w:szCs w:val="32"/>
        </w:rPr>
        <w:t>推进我市传统优势制造业、优质土特产“汕农领鲜”公用品牌等领域制修订相关标准。支持企事业单位</w:t>
      </w:r>
      <w:r>
        <w:rPr>
          <w:rFonts w:hint="eastAsia" w:ascii="仿宋_GB2312" w:hAnsi="仿宋_GB2312" w:eastAsia="仿宋_GB2312" w:cs="仿宋_GB2312"/>
          <w:sz w:val="32"/>
          <w:szCs w:val="32"/>
          <w:lang w:eastAsia="zh-CN"/>
        </w:rPr>
        <w:t>主导或参与国际、国家、行业等</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制修订工作，</w:t>
      </w:r>
      <w:r>
        <w:rPr>
          <w:rFonts w:hint="eastAsia" w:ascii="仿宋_GB2312" w:hAnsi="仿宋_GB2312" w:eastAsia="仿宋_GB2312" w:cs="仿宋_GB2312"/>
          <w:sz w:val="32"/>
          <w:szCs w:val="32"/>
        </w:rPr>
        <w:t>根据《广东省实施标准化战略专项资金管理细则》规定，对符合专项资金管理办法、细则和申报指南要求的，协助承担单位申报省级专项资金；对符合《汕尾市实施技术标准战略专项资金管理办法（修订）》申报要求和条件的承担单位给予资金补助支持</w:t>
      </w:r>
      <w:r>
        <w:rPr>
          <w:rFonts w:hint="eastAsia" w:ascii="仿宋_GB2312" w:hAnsi="仿宋_GB2312" w:eastAsia="仿宋_GB2312" w:cs="仿宋_GB2312"/>
          <w:sz w:val="32"/>
          <w:szCs w:val="32"/>
          <w:lang w:eastAsia="zh-CN"/>
        </w:rPr>
        <w:t>，激发标准创新活力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（标准化科牵头）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（七）提升</w:t>
      </w:r>
      <w:r>
        <w:rPr>
          <w:rFonts w:hint="eastAsia" w:ascii="楷体" w:hAnsi="楷体" w:eastAsia="楷体" w:cs="楷体"/>
          <w:sz w:val="32"/>
          <w:szCs w:val="32"/>
        </w:rPr>
        <w:t>计量服务</w:t>
      </w:r>
      <w:r>
        <w:rPr>
          <w:rFonts w:hint="eastAsia" w:ascii="楷体" w:hAnsi="楷体" w:eastAsia="楷体" w:cs="楷体"/>
          <w:sz w:val="32"/>
          <w:szCs w:val="32"/>
          <w:lang w:eastAsia="zh-CN"/>
        </w:rPr>
        <w:t>能级</w:t>
      </w:r>
      <w:r>
        <w:rPr>
          <w:rFonts w:hint="eastAsia" w:ascii="楷体" w:hAnsi="楷体" w:eastAsia="楷体" w:cs="楷体"/>
          <w:sz w:val="32"/>
          <w:szCs w:val="32"/>
        </w:rPr>
        <w:t>。</w:t>
      </w:r>
      <w:r>
        <w:rPr>
          <w:rFonts w:hint="eastAsia" w:ascii="仿宋_GB2312" w:hAnsi="仿宋_GB2312" w:eastAsia="仿宋_GB2312" w:cs="仿宋_GB2312"/>
          <w:sz w:val="32"/>
          <w:szCs w:val="32"/>
        </w:rPr>
        <w:t>持续开展计量服务中小企业行动，落实落细计量检测费用减免政策。设立计量服务专班，为企业提供计量器具选型、溯源管理、测量体系构建等指导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推动市计量技术机构开放实验室，共享检测设备，降低企业研发成本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开展计量管理人员、检定员专项培训，提升企业计量保障能力。优化检测服务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对中小企业急需的计量器具检定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校准需求，缩短检测周期，提供加急服务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针对重点行业开展“计量服务进企业”活动，现场解决难题。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计量科牵头）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（八）增强</w:t>
      </w:r>
      <w:r>
        <w:rPr>
          <w:rFonts w:hint="eastAsia" w:ascii="楷体" w:hAnsi="楷体" w:eastAsia="楷体" w:cs="楷体"/>
          <w:sz w:val="32"/>
          <w:szCs w:val="32"/>
        </w:rPr>
        <w:t>检验检测认证效能。</w:t>
      </w:r>
      <w:r>
        <w:rPr>
          <w:rFonts w:hint="eastAsia" w:ascii="仿宋_GB2312" w:hAnsi="仿宋_GB2312" w:eastAsia="仿宋_GB2312" w:cs="仿宋_GB2312"/>
          <w:sz w:val="32"/>
          <w:szCs w:val="32"/>
        </w:rPr>
        <w:t>力争建设一批国家、省级检验检测中心等质量技术服务平台，提升技术机构检验检测综合能力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支持国内外知名检测认证机构</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汕尾设立实体机构或开展业务</w:t>
      </w:r>
      <w:r>
        <w:rPr>
          <w:rFonts w:hint="eastAsia" w:ascii="仿宋_GB2312" w:hAnsi="仿宋_GB2312" w:eastAsia="仿宋_GB2312" w:cs="仿宋_GB2312"/>
          <w:sz w:val="32"/>
          <w:szCs w:val="32"/>
          <w:lang w:eastAsia="zh-CN"/>
        </w:rPr>
        <w:t>，探索</w:t>
      </w:r>
      <w:r>
        <w:rPr>
          <w:rFonts w:hint="eastAsia" w:ascii="仿宋_GB2312" w:hAnsi="仿宋_GB2312" w:eastAsia="仿宋_GB2312" w:cs="仿宋_GB2312"/>
          <w:sz w:val="32"/>
          <w:szCs w:val="32"/>
        </w:rPr>
        <w:t>发展面向新能源、新材料、高端装备、生物医药等领域的专业化、高端化检测认证服务能力，</w:t>
      </w:r>
      <w:r>
        <w:rPr>
          <w:rFonts w:hint="eastAsia" w:ascii="仿宋_GB2312" w:hAnsi="仿宋_GB2312" w:eastAsia="仿宋_GB2312" w:cs="仿宋_GB2312"/>
          <w:sz w:val="32"/>
          <w:szCs w:val="32"/>
          <w:lang w:eastAsia="zh-CN"/>
        </w:rPr>
        <w:t>夯实现代化产业体系建设配套质量设施</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（科信科、认监科牵头）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（九）</w:t>
      </w:r>
      <w:r>
        <w:rPr>
          <w:rFonts w:hint="eastAsia" w:ascii="楷体" w:hAnsi="楷体" w:eastAsia="楷体" w:cs="楷体"/>
          <w:sz w:val="32"/>
          <w:szCs w:val="32"/>
        </w:rPr>
        <w:t>加强品牌培育。</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制造业质量品牌培育引导，在战略性新兴产业和优势传统产业中，遴选培育一批质量卓越标杆企业。鼓励支持链主企业牵头开展产业链质量提升行动和</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共性技术联合攻关</w:t>
      </w:r>
      <w:r>
        <w:rPr>
          <w:rFonts w:hint="eastAsia" w:ascii="仿宋_GB2312" w:hAnsi="仿宋_GB2312" w:eastAsia="仿宋_GB2312" w:cs="仿宋_GB2312"/>
          <w:sz w:val="32"/>
          <w:szCs w:val="32"/>
          <w:lang w:eastAsia="zh-CN"/>
        </w:rPr>
        <w:t>。持续推进“汕农领鲜”区域公用品牌建设，打造汕尾特色“土特产”金字招牌。</w:t>
      </w:r>
      <w:r>
        <w:rPr>
          <w:rFonts w:hint="eastAsia" w:ascii="仿宋_GB2312" w:hAnsi="仿宋_GB2312" w:eastAsia="仿宋_GB2312" w:cs="仿宋_GB2312"/>
          <w:sz w:val="32"/>
          <w:szCs w:val="32"/>
        </w:rPr>
        <w:t>强化商标品牌战略，制定实施商标品牌建设工作方案，重点培育一批科技含量高、市场信誉好的知名商标品牌。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质量发展科、标准化科、</w:t>
      </w:r>
      <w:r>
        <w:rPr>
          <w:rFonts w:hint="eastAsia" w:ascii="仿宋_GB2312" w:hAnsi="仿宋_GB2312" w:eastAsia="仿宋_GB2312" w:cs="仿宋_GB2312"/>
          <w:b/>
          <w:bCs/>
          <w:sz w:val="32"/>
          <w:szCs w:val="32"/>
        </w:rPr>
        <w:t>知识产权促进科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三、加强知识产权创造、运用与保护，服务产业创新发展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（十）促进高价值知识产权创造与转化。</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建设高价值专利培育布局中心，重点培育原创型、基础型专利和关键核心技术专利。围绕我市重点产业集群，建设知识产权综合服务中心，集成提供高价值知识产权培育、运营转化、维权援助、信息利用等服务。推进知识产权申请注册便利化改革，推行知识产权业务“一窗通办”，支持国家商标局汕尾业务受理窗口拓展知识产权公共服务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提升知识产权公共服务</w:t>
      </w:r>
      <w:r>
        <w:rPr>
          <w:rFonts w:hint="eastAsia" w:ascii="仿宋_GB2312" w:hAnsi="仿宋_GB2312" w:eastAsia="仿宋_GB2312" w:cs="仿宋_GB2312"/>
          <w:sz w:val="32"/>
          <w:szCs w:val="32"/>
          <w:lang w:eastAsia="zh-CN"/>
        </w:rPr>
        <w:t>便利度和覆盖面</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（知识产权促进科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（十一）</w:t>
      </w:r>
      <w:r>
        <w:rPr>
          <w:rFonts w:hint="eastAsia" w:ascii="楷体" w:hAnsi="楷体" w:eastAsia="楷体" w:cs="楷体"/>
          <w:sz w:val="32"/>
          <w:szCs w:val="32"/>
        </w:rPr>
        <w:t>强化知识产权全链条保护。</w:t>
      </w:r>
      <w:r>
        <w:rPr>
          <w:rFonts w:hint="eastAsia" w:ascii="仿宋_GB2312" w:hAnsi="仿宋_GB2312" w:eastAsia="仿宋_GB2312" w:cs="仿宋_GB2312"/>
          <w:sz w:val="32"/>
          <w:szCs w:val="32"/>
        </w:rPr>
        <w:t>加强展会、电商、专业市场及关键核心技术领域</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知识产权保护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完善专利侵权纠纷行政裁决机制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推进维权援助服务站点向产业园区、重点企业延伸。支持企业开展出口产品知识产权风险排查预警</w:t>
      </w:r>
      <w:r>
        <w:rPr>
          <w:rFonts w:hint="eastAsia" w:ascii="仿宋_GB2312" w:hAnsi="仿宋_GB2312" w:eastAsia="仿宋_GB2312" w:cs="仿宋_GB2312"/>
          <w:sz w:val="32"/>
          <w:szCs w:val="32"/>
          <w:lang w:eastAsia="zh-CN"/>
        </w:rPr>
        <w:t>，助力</w:t>
      </w:r>
      <w:r>
        <w:rPr>
          <w:rFonts w:hint="eastAsia" w:ascii="仿宋_GB2312" w:hAnsi="仿宋_GB2312" w:eastAsia="仿宋_GB2312" w:cs="仿宋_GB2312"/>
          <w:sz w:val="32"/>
          <w:szCs w:val="32"/>
        </w:rPr>
        <w:t>企业完善知识产权国际合规管理制度</w:t>
      </w:r>
      <w:r>
        <w:rPr>
          <w:rFonts w:hint="eastAsia" w:ascii="仿宋_GB2312" w:hAnsi="仿宋_GB2312" w:eastAsia="仿宋_GB2312" w:cs="仿宋_GB2312"/>
          <w:sz w:val="32"/>
          <w:szCs w:val="32"/>
          <w:lang w:eastAsia="zh-CN"/>
        </w:rPr>
        <w:t>。依法保护老字号注册商标、驰名商标，支持和引导知识产权社会组织开展老字号知识产权维权援助和纠纷多元化解决工作，防范商标恶意注册行为。</w:t>
      </w:r>
      <w:r>
        <w:rPr>
          <w:rFonts w:hint="eastAsia" w:ascii="仿宋_GB2312" w:hAnsi="仿宋_GB2312" w:eastAsia="仿宋_GB2312" w:cs="仿宋_GB2312"/>
          <w:sz w:val="32"/>
          <w:szCs w:val="32"/>
        </w:rPr>
        <w:t>开展知识产权保护专项执法行动，依法查处商标、专利、地理标志等</w:t>
      </w:r>
      <w:r>
        <w:rPr>
          <w:rFonts w:hint="eastAsia" w:ascii="仿宋_GB2312" w:hAnsi="仿宋_GB2312" w:eastAsia="仿宋_GB2312" w:cs="仿宋_GB2312"/>
          <w:sz w:val="32"/>
          <w:szCs w:val="32"/>
          <w:lang w:eastAsia="zh-CN"/>
        </w:rPr>
        <w:t>侵权</w:t>
      </w:r>
      <w:r>
        <w:rPr>
          <w:rFonts w:hint="eastAsia" w:ascii="仿宋_GB2312" w:hAnsi="仿宋_GB2312" w:eastAsia="仿宋_GB2312" w:cs="仿宋_GB2312"/>
          <w:sz w:val="32"/>
          <w:szCs w:val="32"/>
        </w:rPr>
        <w:t>违法行为。</w:t>
      </w:r>
      <w:r>
        <w:rPr>
          <w:rFonts w:hint="eastAsia" w:ascii="仿宋_GB2312" w:hAnsi="仿宋_GB2312" w:eastAsia="仿宋_GB2312" w:cs="仿宋_GB2312"/>
          <w:b/>
          <w:bCs/>
          <w:sz w:val="32"/>
          <w:szCs w:val="32"/>
        </w:rPr>
        <w:t>（知识产权保护科、执法科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 促进产业协同与规范秩序，保障市场高效运行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（十二）维护公平竞争市场秩序</w:t>
      </w:r>
      <w:r>
        <w:rPr>
          <w:rFonts w:hint="eastAsia" w:ascii="楷体" w:hAnsi="楷体" w:eastAsia="楷体" w:cs="楷体"/>
          <w:sz w:val="32"/>
          <w:szCs w:val="32"/>
        </w:rPr>
        <w:t>。</w:t>
      </w:r>
      <w:r>
        <w:rPr>
          <w:rFonts w:hint="eastAsia" w:ascii="仿宋_GB2312" w:hAnsi="仿宋_GB2312" w:eastAsia="仿宋_GB2312" w:cs="仿宋_GB2312"/>
          <w:sz w:val="32"/>
          <w:szCs w:val="32"/>
        </w:rPr>
        <w:t>聚焦服务全国统一大市场建设，全面推进实施《公平竞争审查条例》，建立健全公平竞争审查抽查机制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开展重大政策措施会同审查，坚决清理废除妨碍统一市场和公平竞争的政策措施。加强反不正当竞争执法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依法打击仿冒混淆、不正当有奖销售、商业诋毁等不正当竞争行为。加强民生商品、生活服务业等重点领域价格监管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开展涉企违规收费专项整治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减轻</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主体不合理负担。</w:t>
      </w:r>
      <w:r>
        <w:rPr>
          <w:rFonts w:hint="eastAsia" w:ascii="仿宋_GB2312" w:hAnsi="仿宋_GB2312" w:eastAsia="仿宋_GB2312" w:cs="仿宋_GB2312"/>
          <w:b/>
          <w:bCs/>
          <w:sz w:val="32"/>
          <w:szCs w:val="32"/>
        </w:rPr>
        <w:t>（价监科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（十三）</w:t>
      </w:r>
      <w:r>
        <w:rPr>
          <w:rFonts w:hint="eastAsia" w:ascii="楷体" w:hAnsi="楷体" w:eastAsia="楷体" w:cs="楷体"/>
          <w:sz w:val="32"/>
          <w:szCs w:val="32"/>
        </w:rPr>
        <w:t>规范网络交易行为。</w:t>
      </w:r>
      <w:r>
        <w:rPr>
          <w:rFonts w:hint="eastAsia" w:ascii="仿宋_GB2312" w:hAnsi="仿宋_GB2312" w:eastAsia="仿宋_GB2312" w:cs="仿宋_GB2312"/>
          <w:sz w:val="32"/>
          <w:szCs w:val="32"/>
        </w:rPr>
        <w:t>加强网络交易监管</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健全平台经济常态化监管制度，督促指导平台企业严格落实主体责任，依法合规经营。落实线上线下一体化监管，深化多部门协同，着力整治网络市场突出问题，维护良好市场经济秩序，引导平台企业健康规范发展。</w:t>
      </w:r>
      <w:r>
        <w:rPr>
          <w:rFonts w:hint="eastAsia" w:ascii="仿宋_GB2312" w:hAnsi="仿宋_GB2312" w:eastAsia="仿宋_GB2312" w:cs="仿宋_GB2312"/>
          <w:b/>
          <w:bCs/>
          <w:sz w:val="32"/>
          <w:szCs w:val="32"/>
        </w:rPr>
        <w:t>（网监科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（十四）</w:t>
      </w:r>
      <w:r>
        <w:rPr>
          <w:rFonts w:hint="eastAsia" w:ascii="楷体" w:hAnsi="楷体" w:eastAsia="楷体" w:cs="楷体"/>
          <w:sz w:val="32"/>
          <w:szCs w:val="32"/>
        </w:rPr>
        <w:t>推动放心消费承诺</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落实消费者权益保护领域民生工程重点工作任务，引导</w:t>
      </w:r>
      <w:r>
        <w:rPr>
          <w:rFonts w:hint="eastAsia" w:ascii="仿宋_GB2312" w:hAnsi="仿宋_GB2312" w:eastAsia="仿宋_GB2312" w:cs="仿宋_GB2312"/>
          <w:sz w:val="32"/>
          <w:szCs w:val="32"/>
          <w:lang w:eastAsia="zh-CN"/>
        </w:rPr>
        <w:t>扩大</w:t>
      </w:r>
      <w:r>
        <w:rPr>
          <w:rFonts w:hint="eastAsia" w:ascii="仿宋_GB2312" w:hAnsi="仿宋_GB2312" w:eastAsia="仿宋_GB2312" w:cs="仿宋_GB2312"/>
          <w:sz w:val="32"/>
          <w:szCs w:val="32"/>
        </w:rPr>
        <w:t>“放心消费承诺”“线下无理由退货承诺”单位覆盖面，重点向产业园区、专业市场、核心商圈延伸。开展形式多样的宣传推广活动，提升消费者感知度和满意度，打造汕尾“放心消费”品牌，优化消费环境，激发市场潜力。</w:t>
      </w:r>
      <w:r>
        <w:rPr>
          <w:rFonts w:hint="eastAsia" w:ascii="仿宋_GB2312" w:hAnsi="仿宋_GB2312" w:eastAsia="仿宋_GB2312" w:cs="仿宋_GB2312"/>
          <w:b/>
          <w:bCs/>
          <w:sz w:val="32"/>
          <w:szCs w:val="32"/>
        </w:rPr>
        <w:t>（消</w:t>
      </w:r>
      <w:r>
        <w:rPr>
          <w:rFonts w:hint="eastAsia" w:ascii="仿宋_GB2312" w:hAnsi="仿宋_GB2312" w:eastAsia="仿宋_GB2312" w:cs="仿宋_GB2312"/>
          <w:b/>
          <w:bCs/>
          <w:sz w:val="32"/>
          <w:szCs w:val="32"/>
          <w:lang w:eastAsia="zh-CN"/>
        </w:rPr>
        <w:t>保</w:t>
      </w:r>
      <w:r>
        <w:rPr>
          <w:rFonts w:hint="eastAsia" w:ascii="仿宋_GB2312" w:hAnsi="仿宋_GB2312" w:eastAsia="仿宋_GB2312" w:cs="仿宋_GB2312"/>
          <w:b/>
          <w:bCs/>
          <w:sz w:val="32"/>
          <w:szCs w:val="32"/>
        </w:rPr>
        <w:t>会</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五、筑牢安全底线</w:t>
      </w:r>
      <w:r>
        <w:rPr>
          <w:rFonts w:hint="eastAsia" w:ascii="黑体" w:hAnsi="黑体" w:eastAsia="黑体" w:cs="黑体"/>
          <w:sz w:val="32"/>
          <w:szCs w:val="32"/>
          <w:lang w:eastAsia="zh-CN"/>
        </w:rPr>
        <w:t>、优化监管生态</w:t>
      </w:r>
      <w:r>
        <w:rPr>
          <w:rFonts w:hint="eastAsia" w:ascii="黑体" w:hAnsi="黑体" w:eastAsia="黑体" w:cs="黑体"/>
          <w:sz w:val="32"/>
          <w:szCs w:val="32"/>
        </w:rPr>
        <w:t>，支撑产业行稳致远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（十五）加强“三品一特”安全监管。</w:t>
      </w:r>
      <w:r>
        <w:rPr>
          <w:rFonts w:hint="eastAsia" w:ascii="仿宋_GB2312" w:hAnsi="仿宋_GB2312" w:eastAsia="仿宋_GB2312" w:cs="仿宋_GB2312"/>
          <w:sz w:val="32"/>
          <w:szCs w:val="32"/>
          <w:lang w:eastAsia="zh-CN"/>
        </w:rPr>
        <w:t>坚决落实“四个最严”要求，全面加强食品、药品、重点工业产品、特种设备安全监管：强化食品源头风险防控，过程智慧管控，加强海鲜排档、旅游景区餐饮、农村集体聚餐、食品小作坊监管，落实校园食品安全主体责任，严控米面制品、湿米粉等食品安全风险；保障疫苗储运安全，加强零售药店、基层医疗机构药品、医疗美容机构药械质量管理，打击非法渠道购进药品；强化对燃气具、电动自行车及其配件、烟花爆竹、消防产品等重点产品的隐患排查，开展快检筛查专项行动，保障工业产品质量安全；</w:t>
      </w:r>
      <w:r>
        <w:rPr>
          <w:rFonts w:hint="eastAsia" w:ascii="仿宋_GB2312" w:hAnsi="仿宋_GB2312" w:eastAsia="仿宋_GB2312" w:cs="仿宋_GB2312"/>
          <w:sz w:val="32"/>
          <w:szCs w:val="32"/>
        </w:rPr>
        <w:t>加强电梯、锅炉等隐患排查整治</w:t>
      </w:r>
      <w:r>
        <w:rPr>
          <w:rFonts w:hint="eastAsia" w:ascii="仿宋_GB2312" w:hAnsi="仿宋_GB2312" w:eastAsia="仿宋_GB2312" w:cs="仿宋_GB2312"/>
          <w:sz w:val="32"/>
          <w:szCs w:val="32"/>
          <w:lang w:eastAsia="zh-CN"/>
        </w:rPr>
        <w:t>，加大对高风险特种设备使用单位的执法检查力度，</w:t>
      </w:r>
      <w:r>
        <w:rPr>
          <w:rFonts w:hint="eastAsia" w:ascii="仿宋_GB2312" w:hAnsi="仿宋_GB2312" w:eastAsia="仿宋_GB2312" w:cs="仿宋_GB2312"/>
          <w:sz w:val="32"/>
          <w:szCs w:val="32"/>
        </w:rPr>
        <w:t>开展超期未检整治行动，确保设备按时检验，依法查处使用超期未检特种设备违法行为。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执法科、协调与应急科、食品生产科、食品经营科、药品监管科、医疗器械科、质量监督科、特种设备科牵头</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（十六）</w:t>
      </w:r>
      <w:r>
        <w:rPr>
          <w:rFonts w:hint="eastAsia" w:ascii="楷体" w:hAnsi="楷体" w:eastAsia="楷体" w:cs="楷体"/>
          <w:sz w:val="32"/>
          <w:szCs w:val="32"/>
        </w:rPr>
        <w:t>推行柔性监管和包容审慎监管。</w:t>
      </w:r>
      <w:r>
        <w:rPr>
          <w:rFonts w:hint="eastAsia" w:ascii="仿宋_GB2312" w:hAnsi="仿宋_GB2312" w:eastAsia="仿宋_GB2312" w:cs="仿宋_GB2312"/>
          <w:sz w:val="32"/>
          <w:szCs w:val="32"/>
          <w:lang w:val="en-US" w:eastAsia="zh-CN"/>
        </w:rPr>
        <w:t>对新技术、新产业、新业态、新模式实施包容审慎监管，探索“沙盒监管”、触发式监管等模式。建立健全市场监管领域轻微违法行为依法不予处罚和从轻减轻处罚清单，规范行政执法自由裁量权。强化行政指导和服务，引导市场主体自觉守法、主动纠错。</w:t>
      </w:r>
      <w:r>
        <w:rPr>
          <w:rFonts w:hint="eastAsia" w:ascii="仿宋_GB2312" w:hAnsi="仿宋_GB2312" w:eastAsia="仿宋_GB2312" w:cs="仿宋_GB2312"/>
          <w:b/>
          <w:bCs/>
          <w:sz w:val="32"/>
          <w:szCs w:val="32"/>
        </w:rPr>
        <w:t>（执法科</w:t>
      </w:r>
      <w:r>
        <w:rPr>
          <w:rFonts w:hint="eastAsia" w:ascii="仿宋_GB2312" w:hAnsi="仿宋_GB2312" w:eastAsia="仿宋_GB2312" w:cs="仿宋_GB2312"/>
          <w:b/>
          <w:bCs/>
          <w:sz w:val="32"/>
          <w:szCs w:val="32"/>
          <w:lang w:eastAsia="zh-CN"/>
        </w:rPr>
        <w:t>牵头</w:t>
      </w:r>
      <w:r>
        <w:rPr>
          <w:rFonts w:hint="eastAsia" w:ascii="仿宋_GB2312" w:hAnsi="仿宋_GB2312" w:eastAsia="仿宋_GB2312" w:cs="仿宋_GB2312"/>
          <w:b/>
          <w:bCs/>
          <w:sz w:val="32"/>
          <w:szCs w:val="32"/>
        </w:rPr>
        <w:t>）</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DE55AD"/>
    <w:rsid w:val="31DB691C"/>
    <w:rsid w:val="4EE77201"/>
    <w:rsid w:val="6B2F9726"/>
    <w:rsid w:val="77F43C91"/>
    <w:rsid w:val="7BE546C6"/>
    <w:rsid w:val="7FFAAAEE"/>
    <w:rsid w:val="7FFFC884"/>
    <w:rsid w:val="ACDF30EC"/>
    <w:rsid w:val="BE7F1E4F"/>
    <w:rsid w:val="BEDF05DE"/>
    <w:rsid w:val="BF7BCE46"/>
    <w:rsid w:val="BFFC2E4C"/>
    <w:rsid w:val="D57FCC19"/>
    <w:rsid w:val="D6EB2F40"/>
    <w:rsid w:val="E5FC1154"/>
    <w:rsid w:val="EDDE55AD"/>
    <w:rsid w:val="F8FAFCAF"/>
    <w:rsid w:val="FBFFEBAB"/>
    <w:rsid w:val="FDFC05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2025-06-29T01:27:00Z</dcterms:created>
  <dc:creator>yuanjiaxin</dc:creator>
  <cp:lastModifiedBy>yuanjiaxin</cp:lastModifiedBy>
  <dcterms:modified xsi:type="dcterms:W3CDTF">2025-07-04T11:36:38Z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