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shd w:val="solid" w:color="FFFFFF" w:fill="auto"/>
        <w:wordWrap w:val="0"/>
        <w:adjustRightInd/>
        <w:snapToGrid/>
        <w:spacing w:before="0" w:beforeLines="0" w:after="0" w:afterLines="0" w:line="580" w:lineRule="exact"/>
        <w:ind w:left="0" w:leftChars="0" w:right="0"/>
        <w:jc w:val="both"/>
        <w:textAlignment w:val="auto"/>
        <w:outlineLvl w:val="9"/>
        <w:rPr>
          <w:rFonts w:hint="default" w:ascii="黑体" w:hAnsi="黑体" w:eastAsia="黑体" w:cs="黑体"/>
          <w:color w:val="auto"/>
          <w:sz w:val="32"/>
          <w:highlight w:val="none"/>
          <w:u w:val="none" w:color="auto"/>
          <w:lang w:val="en-US" w:eastAsia="zh-CN"/>
        </w:rPr>
      </w:pPr>
      <w:r>
        <w:rPr>
          <w:rFonts w:hint="default" w:ascii="黑体" w:hAnsi="黑体" w:eastAsia="黑体" w:cs="黑体"/>
          <w:color w:val="auto"/>
          <w:sz w:val="32"/>
          <w:highlight w:val="none"/>
          <w:u w:val="none" w:color="auto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highlight w:val="none"/>
          <w:u w:val="none" w:color="auto"/>
          <w:lang w:val="en-US" w:eastAsia="zh-CN"/>
        </w:rPr>
        <w:t>1</w:t>
      </w:r>
    </w:p>
    <w:p>
      <w:pPr>
        <w:widowControl w:val="0"/>
        <w:numPr>
          <w:ilvl w:val="0"/>
          <w:numId w:val="0"/>
        </w:numPr>
        <w:shd w:val="solid" w:color="FFFFFF" w:fill="auto"/>
        <w:wordWrap w:val="0"/>
        <w:adjustRightInd/>
        <w:snapToGrid/>
        <w:spacing w:before="0" w:beforeLines="0" w:after="0" w:afterLines="0" w:line="580" w:lineRule="exact"/>
        <w:ind w:left="0" w:leftChars="0" w:right="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highlight w:val="none"/>
          <w:u w:val="none" w:color="auto"/>
          <w:lang w:val="en-US" w:eastAsia="zh-CN"/>
        </w:rPr>
      </w:pPr>
    </w:p>
    <w:p>
      <w:pPr>
        <w:widowControl w:val="0"/>
        <w:numPr>
          <w:ilvl w:val="0"/>
          <w:numId w:val="0"/>
        </w:numPr>
        <w:shd w:val="solid" w:color="FFFFFF" w:fill="auto"/>
        <w:wordWrap w:val="0"/>
        <w:adjustRightInd/>
        <w:snapToGrid/>
        <w:spacing w:before="0" w:beforeLines="0" w:after="0" w:afterLines="0" w:line="580" w:lineRule="exact"/>
        <w:ind w:left="0" w:leftChars="0" w:right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 w:color="auto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u w:val="none" w:color="auto"/>
          <w:lang w:val="en-US" w:eastAsia="zh-CN"/>
        </w:rPr>
        <w:t>评标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 w:color="auto"/>
          <w:lang w:val="en-US" w:eastAsia="zh-CN"/>
        </w:rPr>
        <w:t>专家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u w:val="none" w:color="auto"/>
          <w:lang w:val="en-US" w:eastAsia="zh-CN"/>
        </w:rPr>
        <w:t>日常考核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 w:color="auto"/>
          <w:lang w:val="en-US" w:eastAsia="zh-CN"/>
        </w:rPr>
        <w:t>记录表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highlight w:val="none"/>
          <w:u w:val="none" w:color="auto"/>
        </w:rPr>
      </w:pPr>
    </w:p>
    <w:tbl>
      <w:tblPr>
        <w:tblStyle w:val="4"/>
        <w:tblW w:w="832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850"/>
        <w:gridCol w:w="1615"/>
        <w:gridCol w:w="24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项目编号：                       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评标时间：                       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评标地点：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专家姓名：                        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身份证号码： 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70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填表单位：                        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sz w:val="15"/>
                <w:szCs w:val="15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z w:val="15"/>
                <w:szCs w:val="15"/>
                <w:highlight w:val="none"/>
                <w:u w:val="none"/>
                <w:lang w:val="en-US" w:eastAsia="zh-CN"/>
              </w:rPr>
              <w:t>交易项目发起方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15"/>
                <w:szCs w:val="15"/>
                <w:highlight w:val="none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15"/>
                <w:szCs w:val="15"/>
                <w:highlight w:val="none"/>
                <w:u w:val="none"/>
                <w:lang w:val="en-US" w:eastAsia="zh-CN"/>
              </w:rPr>
              <w:t>1-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z w:val="15"/>
                <w:szCs w:val="15"/>
                <w:highlight w:val="none"/>
                <w:u w:val="no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15"/>
                <w:szCs w:val="15"/>
                <w:highlight w:val="none"/>
                <w:u w:val="none"/>
                <w:lang w:eastAsia="zh-CN"/>
              </w:rPr>
              <w:t>）、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15"/>
                <w:szCs w:val="15"/>
                <w:highlight w:val="none"/>
                <w:u w:val="none"/>
              </w:rPr>
              <w:t>公共资源交易平台运行服务机构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15"/>
                <w:szCs w:val="15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z w:val="15"/>
                <w:szCs w:val="15"/>
                <w:highlight w:val="none"/>
                <w:u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15"/>
                <w:szCs w:val="15"/>
                <w:highlight w:val="none"/>
                <w:u w:val="no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z w:val="15"/>
                <w:szCs w:val="15"/>
                <w:highlight w:val="none"/>
                <w:u w:val="no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15"/>
                <w:szCs w:val="15"/>
                <w:highlight w:val="none"/>
                <w:u w:val="none"/>
                <w:lang w:eastAsia="zh-CN"/>
              </w:rPr>
              <w:t>）、省专家库日常维护管理机构（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z w:val="15"/>
                <w:szCs w:val="15"/>
                <w:highlight w:val="none"/>
                <w:u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15"/>
                <w:szCs w:val="15"/>
                <w:highlight w:val="none"/>
                <w:u w:val="none"/>
                <w:lang w:val="en-US" w:eastAsia="zh-CN"/>
              </w:rPr>
              <w:t>-1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z w:val="15"/>
                <w:szCs w:val="15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15"/>
                <w:szCs w:val="15"/>
                <w:highlight w:val="none"/>
                <w:u w:val="none"/>
                <w:lang w:eastAsia="zh-CN"/>
              </w:rPr>
              <w:t>）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填表日期： 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记录单位：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15"/>
                <w:szCs w:val="15"/>
                <w:highlight w:val="none"/>
                <w:u w:val="none"/>
              </w:rPr>
              <w:t>公共资源交易平台运行服务机构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15"/>
                <w:szCs w:val="15"/>
                <w:highlight w:val="none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15"/>
                <w:szCs w:val="15"/>
                <w:highlight w:val="none"/>
                <w:u w:val="none"/>
                <w:lang w:val="en-US" w:eastAsia="zh-CN"/>
              </w:rPr>
              <w:t>1-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z w:val="15"/>
                <w:szCs w:val="15"/>
                <w:highlight w:val="none"/>
                <w:u w:val="no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15"/>
                <w:szCs w:val="15"/>
                <w:highlight w:val="none"/>
                <w:u w:val="none"/>
                <w:lang w:eastAsia="zh-CN"/>
              </w:rPr>
              <w:t>）、省专家库日常维护管理机构（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z w:val="15"/>
                <w:szCs w:val="15"/>
                <w:highlight w:val="none"/>
                <w:u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15"/>
                <w:szCs w:val="15"/>
                <w:highlight w:val="none"/>
                <w:u w:val="none"/>
                <w:lang w:val="en-US" w:eastAsia="zh-CN"/>
              </w:rPr>
              <w:t>-1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z w:val="15"/>
                <w:szCs w:val="15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15"/>
                <w:szCs w:val="15"/>
                <w:highlight w:val="none"/>
                <w:u w:val="none"/>
                <w:lang w:eastAsia="zh-CN"/>
              </w:rPr>
              <w:t>）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记录日期：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solid" w:color="FFFFFF" w:fill="auto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highlight w:val="none"/>
          <w:u w:val="none" w:color="auto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highlight w:val="none"/>
          <w:u w:val="none" w:color="auto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highlight w:val="none"/>
          <w:u w:val="none" w:color="auto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highlight w:val="none"/>
          <w:u w:val="none" w:color="auto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highlight w:val="none"/>
          <w:u w:val="none" w:color="auto"/>
          <w:lang w:val="en-US" w:eastAsia="zh-CN"/>
        </w:rPr>
        <w:t xml:space="preserve">   </w:t>
      </w:r>
    </w:p>
    <w:tbl>
      <w:tblPr>
        <w:tblStyle w:val="4"/>
        <w:tblW w:w="9722" w:type="dxa"/>
        <w:tblInd w:w="-5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6463"/>
        <w:gridCol w:w="1687"/>
        <w:gridCol w:w="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tblHeader/>
        </w:trPr>
        <w:tc>
          <w:tcPr>
            <w:tcW w:w="738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 w:val="0"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u w:val="none" w:color="auto"/>
                <w:lang w:val="en-US" w:eastAsia="zh-CN"/>
              </w:rPr>
              <w:t>序号</w:t>
            </w:r>
          </w:p>
        </w:tc>
        <w:tc>
          <w:tcPr>
            <w:tcW w:w="6463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 w:val="0"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  <w:t>评标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  <w:t>专家存在负面行为</w:t>
            </w:r>
          </w:p>
        </w:tc>
        <w:tc>
          <w:tcPr>
            <w:tcW w:w="1687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 w:val="0"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  <w:t>详细情况描述</w:t>
            </w:r>
          </w:p>
        </w:tc>
        <w:tc>
          <w:tcPr>
            <w:tcW w:w="834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 w:val="0"/>
              <w:adjustRightInd/>
              <w:snapToGrid/>
              <w:spacing w:before="0" w:beforeLines="0" w:after="0" w:afterLines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  <w:t>扣分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4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  <w:t>个人信息发生变化后未在省专家库变更完善，影响评标工作进展的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  <w:t>。</w:t>
            </w:r>
          </w:p>
        </w:tc>
        <w:tc>
          <w:tcPr>
            <w:tcW w:w="1687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 w:bidi="ar-SA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4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  <w:t>未缴纳评标劳务报酬个人所得税影响交易项目发起方工作进展的。</w:t>
            </w:r>
          </w:p>
        </w:tc>
        <w:tc>
          <w:tcPr>
            <w:tcW w:w="1687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 w:bidi="ar-SA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  <w:t>30分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4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  <w:t>不协助、不配合交易项目发起方处理异议、复核评标结果的。</w:t>
            </w:r>
          </w:p>
        </w:tc>
        <w:tc>
          <w:tcPr>
            <w:tcW w:w="1687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 w:bidi="ar-SA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  <w:t>30分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4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  <w:t>不按时参加评标，到达集合地点超过集合时间15分钟以上不足30分钟的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  <w:t>。</w:t>
            </w:r>
          </w:p>
        </w:tc>
        <w:tc>
          <w:tcPr>
            <w:tcW w:w="1687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 w:color="auto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64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  <w:t>不配合核验身份的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  <w:t>。</w:t>
            </w:r>
          </w:p>
        </w:tc>
        <w:tc>
          <w:tcPr>
            <w:tcW w:w="1687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 w:bidi="ar-SA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64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 w:bidi="ar-SA"/>
              </w:rPr>
              <w:t>不按要求存放通讯工具、电脑、移动存储设备、纸质资料的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 w:bidi="ar-SA"/>
              </w:rPr>
              <w:t>。</w:t>
            </w:r>
          </w:p>
        </w:tc>
        <w:tc>
          <w:tcPr>
            <w:tcW w:w="1687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 w:bidi="ar-SA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64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 w:bidi="ar-SA"/>
              </w:rPr>
              <w:t>在交易场所禁烟区吸烟的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 w:bidi="ar-SA"/>
              </w:rPr>
              <w:t>。</w:t>
            </w:r>
          </w:p>
        </w:tc>
        <w:tc>
          <w:tcPr>
            <w:tcW w:w="1687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 w:bidi="ar-SA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64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 w:bidi="ar-SA"/>
              </w:rPr>
              <w:t>不按时参加评标，到达集合地点超过集合时间30分钟以上的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 w:bidi="ar-SA"/>
              </w:rPr>
              <w:t>。</w:t>
            </w:r>
          </w:p>
        </w:tc>
        <w:tc>
          <w:tcPr>
            <w:tcW w:w="1687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 w:bidi="ar-SA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  <w:t>20分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64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 w:bidi="ar-SA"/>
              </w:rPr>
              <w:t>缺席评标，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 w:bidi="ar-SA"/>
              </w:rPr>
              <w:t>超过集合时间30分钟以上未到达集合地点的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 w:bidi="ar-SA"/>
              </w:rPr>
              <w:t>。</w:t>
            </w:r>
          </w:p>
        </w:tc>
        <w:tc>
          <w:tcPr>
            <w:tcW w:w="1687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 w:bidi="ar-SA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  <w:t>20分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64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 w:bidi="ar-SA"/>
              </w:rPr>
              <w:t>拒绝（包括电话无人接听、直接挂机）参加评标累计10次的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 w:bidi="ar-SA"/>
              </w:rPr>
              <w:t>。</w:t>
            </w:r>
          </w:p>
        </w:tc>
        <w:tc>
          <w:tcPr>
            <w:tcW w:w="1687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 w:bidi="ar-SA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64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  <w:t>距集合时间不足2小时办理请假手续的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  <w:t>。</w:t>
            </w:r>
          </w:p>
        </w:tc>
        <w:tc>
          <w:tcPr>
            <w:tcW w:w="1687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 w:val="0"/>
              <w:adjustRightInd/>
              <w:snapToGrid/>
              <w:spacing w:before="0" w:beforeLines="0" w:after="0" w:afterLines="0" w:line="400" w:lineRule="exact"/>
              <w:ind w:left="0" w:leftChars="0" w:right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 w:color="auto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 w:val="0"/>
              <w:adjustRightInd/>
              <w:snapToGrid/>
              <w:spacing w:before="0" w:beforeLines="0" w:after="0" w:afterLines="0" w:line="40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64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  <w:t>被行政监督部门责令改正的。</w:t>
            </w:r>
          </w:p>
        </w:tc>
        <w:tc>
          <w:tcPr>
            <w:tcW w:w="1687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 w:val="0"/>
              <w:adjustRightInd/>
              <w:snapToGrid/>
              <w:spacing w:before="0" w:beforeLines="0" w:after="0" w:afterLines="0" w:line="400" w:lineRule="exact"/>
              <w:ind w:left="0" w:leftChars="0" w:right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 w:color="auto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 w:val="0"/>
              <w:adjustRightInd/>
              <w:snapToGrid/>
              <w:spacing w:before="0" w:beforeLines="0" w:after="0" w:afterLines="0" w:line="4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  <w:t>20分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64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  <w:t>被行政监督部门没收收受的财物、依法处以罚款、禁止在一定期限内参加依法必须进行招标的项目评标的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  <w:t>。</w:t>
            </w:r>
          </w:p>
        </w:tc>
        <w:tc>
          <w:tcPr>
            <w:tcW w:w="1687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 w:bidi="ar-SA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  <w:t>30分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 w:afterLines="0" w:line="0" w:lineRule="atLeas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u w:val="none" w:color="auto"/>
          <w:lang w:val="en-US" w:eastAsia="zh-CN"/>
        </w:rPr>
        <w:t>注：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u w:val="none" w:color="auto"/>
          <w:lang w:val="en-US" w:eastAsia="zh-CN"/>
        </w:rPr>
        <w:t>填报“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u w:val="none" w:color="auto"/>
          <w:lang w:val="en-US" w:eastAsia="zh-CN"/>
        </w:rPr>
        <w:t>详细情况描述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u w:val="none" w:color="auto"/>
          <w:lang w:val="en-US" w:eastAsia="zh-CN"/>
        </w:rPr>
        <w:t>”栏时应当要素齐全，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u w:val="none" w:color="auto"/>
          <w:lang w:val="en-US" w:eastAsia="zh-CN"/>
        </w:rPr>
        <w:t>可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u w:val="none" w:color="auto"/>
          <w:lang w:val="en-US" w:eastAsia="zh-CN"/>
        </w:rPr>
        <w:t>以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u w:val="none" w:color="auto"/>
          <w:lang w:val="en-US" w:eastAsia="zh-CN"/>
        </w:rPr>
        <w:t>附相关证明材料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u w:val="none" w:color="auto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u w:val="none" w:color="auto"/>
          <w:lang w:val="en-US" w:eastAsia="zh-CN"/>
        </w:rPr>
        <w:t>详细情况描述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u w:val="none" w:color="auto"/>
          <w:lang w:val="en-US" w:eastAsia="zh-CN"/>
        </w:rPr>
        <w:t>不清的，公共资源交易平台运行服务机构可以退回填表单位修改。不存在负面行为的无须填报。</w:t>
      </w: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方正仿宋_GBK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汉仪细圆B5">
    <w:panose1 w:val="02010600000101010101"/>
    <w:charset w:val="88"/>
    <w:family w:val="auto"/>
    <w:pitch w:val="default"/>
    <w:sig w:usb0="00000001" w:usb1="080E0800" w:usb2="00000002" w:usb3="00000000" w:csb0="001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FB70CB8"/>
    <w:rsid w:val="5FD9709B"/>
    <w:rsid w:val="AFB70CB8"/>
    <w:rsid w:val="F1F71C78"/>
    <w:rsid w:val="F9A6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0" w:lineRule="exact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spacing w:line="240" w:lineRule="auto"/>
      <w:ind w:left="420" w:leftChars="200"/>
    </w:pPr>
    <w:rPr>
      <w:rFonts w:ascii="Times New Roman" w:hAnsi="Times New Roman" w:eastAsia="宋体" w:cs="Times New Roman"/>
      <w:sz w:val="21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2025-07-10T15:32:00Z</dcterms:created>
  <dc:creator>赵凯</dc:creator>
  <cp:lastModifiedBy>赵凯</cp:lastModifiedBy>
  <dcterms:modified xsi:type="dcterms:W3CDTF">2025-07-10T15:34:30Z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