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w:t>
      </w:r>
      <w:r>
        <w:rPr>
          <w:rFonts w:hint="eastAsia" w:asciiTheme="majorEastAsia" w:hAnsiTheme="majorEastAsia" w:eastAsiaTheme="majorEastAsia" w:cstheme="majorEastAsia"/>
          <w:b/>
          <w:bCs/>
          <w:sz w:val="44"/>
          <w:szCs w:val="44"/>
          <w:lang w:val="en-US" w:eastAsia="zh-CN"/>
        </w:rPr>
        <w:t>汕尾市市区地下空间开发利用管理暂行办法</w:t>
      </w:r>
      <w:r>
        <w:rPr>
          <w:rFonts w:hint="eastAsia" w:asciiTheme="majorEastAsia" w:hAnsiTheme="majorEastAsia" w:eastAsiaTheme="majorEastAsia" w:cstheme="majorEastAsia"/>
          <w:b/>
          <w:bCs/>
          <w:sz w:val="44"/>
          <w:szCs w:val="44"/>
        </w:rPr>
        <w:t>》</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起草说明</w:t>
      </w:r>
    </w:p>
    <w:p>
      <w:pPr>
        <w:spacing w:line="580" w:lineRule="exact"/>
        <w:ind w:firstLine="640" w:firstLineChars="200"/>
        <w:rPr>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随着社会经济发展，合理有序开发利用地下空间，能有效缓解城市土地资源紧张，推动城市由外延扩张向垂直发展提升转变，改善城市环境，提高城市综合承载能力。根据</w:t>
      </w:r>
      <w:r>
        <w:rPr>
          <w:rFonts w:hint="eastAsia" w:ascii="仿宋_GB2312" w:hAnsi="仿宋_GB2312" w:cs="仿宋_GB2312"/>
          <w:lang w:eastAsia="zh-CN"/>
        </w:rPr>
        <w:t>法律法规的</w:t>
      </w:r>
      <w:r>
        <w:rPr>
          <w:rFonts w:hint="eastAsia" w:ascii="仿宋_GB2312" w:hAnsi="仿宋_GB2312" w:eastAsia="仿宋_GB2312" w:cs="仿宋_GB2312"/>
        </w:rPr>
        <w:t>相关规定，我局结合</w:t>
      </w:r>
      <w:r>
        <w:rPr>
          <w:rFonts w:hint="eastAsia" w:ascii="仿宋_GB2312" w:hAnsi="仿宋_GB2312" w:eastAsia="仿宋_GB2312" w:cs="仿宋_GB2312"/>
          <w:lang w:val="en-US" w:eastAsia="zh-CN"/>
        </w:rPr>
        <w:t>市区</w:t>
      </w:r>
      <w:r>
        <w:rPr>
          <w:rFonts w:hint="eastAsia" w:ascii="仿宋_GB2312" w:hAnsi="仿宋_GB2312" w:eastAsia="仿宋_GB2312" w:cs="仿宋_GB2312"/>
        </w:rPr>
        <w:t>实际研究拟定了《</w:t>
      </w:r>
      <w:r>
        <w:rPr>
          <w:rFonts w:hint="eastAsia" w:ascii="仿宋_GB2312" w:hAnsi="仿宋_GB2312" w:eastAsia="仿宋_GB2312" w:cs="仿宋_GB2312"/>
          <w:lang w:val="en-US" w:eastAsia="zh-CN"/>
        </w:rPr>
        <w:t>汕尾市市区地下空间开发利用管理暂行办法</w:t>
      </w:r>
      <w:r>
        <w:rPr>
          <w:rFonts w:hint="eastAsia" w:ascii="仿宋_GB2312" w:hAnsi="仿宋_GB2312" w:eastAsia="仿宋_GB2312" w:cs="仿宋_GB2312"/>
        </w:rPr>
        <w:t>》</w:t>
      </w:r>
      <w:r>
        <w:rPr>
          <w:rFonts w:hint="eastAsia" w:ascii="仿宋_GB2312" w:hAnsi="仿宋_GB2312" w:eastAsia="仿宋_GB2312" w:cs="仿宋_GB2312"/>
          <w:lang w:eastAsia="zh-CN"/>
        </w:rPr>
        <w:t>，</w:t>
      </w:r>
      <w:r>
        <w:rPr>
          <w:rFonts w:hint="eastAsia" w:ascii="仿宋_GB2312" w:hAnsi="仿宋_GB2312" w:eastAsia="仿宋_GB2312" w:cs="仿宋_GB2312"/>
        </w:rPr>
        <w:t>现就文件</w:t>
      </w:r>
      <w:r>
        <w:rPr>
          <w:rFonts w:hint="eastAsia" w:ascii="仿宋_GB2312" w:hAnsi="仿宋_GB2312" w:eastAsia="仿宋_GB2312" w:cs="仿宋_GB2312"/>
          <w:lang w:val="en-US" w:eastAsia="zh-CN"/>
        </w:rPr>
        <w:t>起草情况</w:t>
      </w:r>
      <w:r>
        <w:rPr>
          <w:rFonts w:hint="eastAsia" w:ascii="仿宋_GB2312" w:hAnsi="仿宋_GB2312" w:eastAsia="仿宋_GB2312" w:cs="仿宋_GB2312"/>
        </w:rPr>
        <w:t>说明如下：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lang w:val="en-US" w:eastAsia="zh-CN"/>
        </w:rPr>
      </w:pPr>
      <w:r>
        <w:rPr>
          <w:rFonts w:hint="eastAsia" w:ascii="黑体" w:hAnsi="黑体" w:eastAsia="黑体" w:cs="黑体"/>
        </w:rPr>
        <w:t>一、文件起草背景</w:t>
      </w:r>
      <w:r>
        <w:rPr>
          <w:rFonts w:hint="eastAsia" w:ascii="黑体" w:hAnsi="黑体" w:eastAsia="黑体" w:cs="黑体"/>
          <w:lang w:val="en-US" w:eastAsia="zh-CN"/>
        </w:rPr>
        <w:t>及必要性</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rPr>
        <w:t>地下空间是重要的自然资源。随着经济社会发展，土地资源日趋紧张，合理、有序开发利用地下空间，可有效提高土地资源价值，推进城市高质量发展。但我市此前在地下空间开发利用管理方面没有制定相关的规范性文件，地下空间开发利用的管理职责、规划编制、土地供应、统筹开发利用等亟需明确，</w:t>
      </w:r>
      <w:r>
        <w:rPr>
          <w:rFonts w:hint="eastAsia" w:ascii="仿宋_GB2312" w:hAnsi="仿宋_GB2312" w:cs="仿宋_GB2312"/>
          <w:lang w:eastAsia="zh-CN"/>
        </w:rPr>
        <w:t>此次起草</w:t>
      </w:r>
      <w:r>
        <w:rPr>
          <w:rFonts w:hint="eastAsia" w:ascii="仿宋_GB2312" w:hAnsi="仿宋_GB2312" w:eastAsia="仿宋_GB2312" w:cs="仿宋_GB2312"/>
        </w:rPr>
        <w:t>《</w:t>
      </w:r>
      <w:r>
        <w:rPr>
          <w:rFonts w:hint="eastAsia" w:ascii="仿宋_GB2312" w:hAnsi="仿宋_GB2312" w:eastAsia="仿宋_GB2312" w:cs="仿宋_GB2312"/>
          <w:lang w:val="en-US" w:eastAsia="zh-CN"/>
        </w:rPr>
        <w:t>汕尾市市区地下空间开发利用管理暂行办法</w:t>
      </w:r>
      <w:r>
        <w:rPr>
          <w:rFonts w:hint="eastAsia" w:ascii="仿宋_GB2312" w:hAnsi="仿宋_GB2312" w:eastAsia="仿宋_GB2312" w:cs="仿宋_GB2312"/>
        </w:rPr>
        <w:t>》</w:t>
      </w:r>
      <w:r>
        <w:rPr>
          <w:rFonts w:hint="eastAsia" w:ascii="仿宋_GB2312" w:hAnsi="仿宋_GB2312" w:cs="仿宋_GB2312"/>
          <w:lang w:eastAsia="zh-CN"/>
        </w:rPr>
        <w:t>，</w:t>
      </w:r>
      <w:r>
        <w:rPr>
          <w:rFonts w:hint="eastAsia" w:ascii="仿宋_GB2312" w:hAnsi="仿宋_GB2312" w:eastAsia="仿宋_GB2312" w:cs="仿宋_GB2312"/>
        </w:rPr>
        <w:t>填补了我市对地下空间开发利用管理工作的空白</w:t>
      </w:r>
      <w:r>
        <w:rPr>
          <w:rFonts w:hint="eastAsia" w:ascii="仿宋_GB2312" w:hAnsi="仿宋_GB2312" w:cs="仿宋_GB2312"/>
          <w:lang w:eastAsia="zh-CN"/>
        </w:rPr>
        <w:t>，有利于规范地下空间的开发利用和管理，</w:t>
      </w:r>
      <w:r>
        <w:rPr>
          <w:rFonts w:hint="eastAsia" w:ascii="仿宋_GB2312" w:hAnsi="仿宋_GB2312" w:eastAsia="仿宋_GB2312" w:cs="仿宋_GB2312"/>
        </w:rPr>
        <w:t>保障地下空间土地权利人合法权益的有效途径。</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rPr>
      </w:pPr>
      <w:r>
        <w:rPr>
          <w:rFonts w:hint="eastAsia" w:ascii="黑体" w:hAnsi="黑体" w:eastAsia="黑体" w:cs="黑体"/>
        </w:rPr>
        <w:t>制定依据</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642"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法律、行政法规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lang w:val="en-US" w:eastAsia="zh-CN"/>
        </w:rPr>
      </w:pPr>
      <w:r>
        <w:rPr>
          <w:rFonts w:hint="eastAsia" w:ascii="仿宋_GB2312" w:eastAsia="仿宋_GB2312"/>
          <w:color w:val="auto"/>
          <w:sz w:val="32"/>
          <w:szCs w:val="32"/>
        </w:rPr>
        <w:t>依据的法律、行政法规有</w:t>
      </w:r>
      <w:r>
        <w:rPr>
          <w:rFonts w:hint="eastAsia" w:ascii="仿宋_GB2312" w:eastAsia="仿宋_GB2312"/>
          <w:bCs/>
          <w:color w:val="auto"/>
          <w:sz w:val="32"/>
          <w:szCs w:val="32"/>
        </w:rPr>
        <w:t>《</w:t>
      </w:r>
      <w:r>
        <w:rPr>
          <w:rFonts w:hint="eastAsia" w:ascii="仿宋_GB2312" w:hAnsi="仿宋_GB2312" w:eastAsia="仿宋_GB2312" w:cs="仿宋_GB2312"/>
          <w:lang w:val="en-US" w:eastAsia="zh-CN"/>
        </w:rPr>
        <w:t>中华人民共和国民法典</w:t>
      </w:r>
      <w:r>
        <w:rPr>
          <w:rFonts w:hint="eastAsia" w:ascii="仿宋_GB2312" w:eastAsia="仿宋_GB2312"/>
          <w:bCs/>
          <w:color w:val="auto"/>
          <w:sz w:val="32"/>
          <w:szCs w:val="32"/>
        </w:rPr>
        <w:t>》</w:t>
      </w:r>
      <w:r>
        <w:rPr>
          <w:rFonts w:hint="eastAsia" w:ascii="仿宋_GB2312" w:hAnsi="仿宋_GB2312" w:eastAsia="仿宋_GB2312" w:cs="仿宋_GB2312"/>
          <w:lang w:val="en-US" w:eastAsia="zh-CN"/>
        </w:rPr>
        <w:t>《中华人民共和国土地管理法》《中华人民共和国城乡规划法》《中华人民共和国人民防空法》《不动产登记暂行条例》《不动产登记暂行条例实施细则》</w:t>
      </w:r>
      <w:r>
        <w:rPr>
          <w:rFonts w:hint="eastAsia" w:ascii="仿宋_GB2312" w:hAnsi="仿宋_GB2312" w:cs="仿宋_GB2312"/>
          <w:lang w:val="en-US" w:eastAsia="zh-CN"/>
        </w:rPr>
        <w:t>等。</w:t>
      </w:r>
    </w:p>
    <w:p>
      <w:pPr>
        <w:shd w:val="clear"/>
        <w:spacing w:line="540" w:lineRule="exact"/>
        <w:ind w:firstLine="642" w:firstLineChars="200"/>
        <w:rPr>
          <w:rFonts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（二）地方性法规、部门规章</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lang w:val="en-US" w:eastAsia="zh-CN"/>
        </w:rPr>
      </w:pPr>
      <w:r>
        <w:rPr>
          <w:rFonts w:hint="eastAsia" w:ascii="仿宋_GB2312" w:eastAsia="仿宋_GB2312"/>
          <w:bCs/>
          <w:color w:val="auto"/>
          <w:sz w:val="32"/>
          <w:szCs w:val="32"/>
        </w:rPr>
        <w:t>依据的地方性法规、部门规章有</w:t>
      </w:r>
      <w:r>
        <w:rPr>
          <w:rFonts w:hint="eastAsia" w:ascii="仿宋_GB2312"/>
          <w:bCs/>
          <w:color w:val="auto"/>
          <w:sz w:val="32"/>
          <w:szCs w:val="32"/>
          <w:lang w:val="en-US" w:eastAsia="zh-CN"/>
        </w:rPr>
        <w:t>《广东省城乡规划条例》</w:t>
      </w:r>
      <w:r>
        <w:rPr>
          <w:rFonts w:hint="eastAsia" w:ascii="仿宋_GB2312" w:eastAsia="仿宋_GB2312"/>
          <w:bCs/>
          <w:color w:val="auto"/>
          <w:sz w:val="32"/>
          <w:szCs w:val="32"/>
        </w:rPr>
        <w:t>《城市地下空间开发利用管理规定》《城市规划编制办法》</w:t>
      </w:r>
      <w:r>
        <w:rPr>
          <w:rFonts w:hint="eastAsia" w:ascii="仿宋_GB2312" w:hAnsi="仿宋_GB2312" w:eastAsia="仿宋_GB2312" w:cs="仿宋_GB2312"/>
          <w:lang w:val="en-US" w:eastAsia="zh-CN"/>
        </w:rPr>
        <w:t>《城市地下空间开发利用管理规定》</w:t>
      </w:r>
      <w:r>
        <w:rPr>
          <w:rFonts w:hint="eastAsia" w:ascii="仿宋_GB2312" w:hAnsi="仿宋_GB2312" w:cs="仿宋_GB2312"/>
          <w:lang w:val="en-US" w:eastAsia="zh-CN"/>
        </w:rPr>
        <w:t>等。</w:t>
      </w:r>
    </w:p>
    <w:p>
      <w:pPr>
        <w:shd w:val="clear"/>
        <w:spacing w:line="540" w:lineRule="exact"/>
        <w:ind w:firstLine="642" w:firstLineChars="200"/>
        <w:rPr>
          <w:rFonts w:hint="eastAsia" w:ascii="楷体_GB2312" w:hAnsi="楷体_GB2312" w:eastAsia="楷体_GB2312" w:cs="楷体_GB2312"/>
          <w:b/>
          <w:color w:val="auto"/>
          <w:sz w:val="32"/>
          <w:szCs w:val="32"/>
          <w:lang w:val="en-US" w:eastAsia="zh-CN"/>
        </w:rPr>
      </w:pPr>
      <w:r>
        <w:rPr>
          <w:rFonts w:hint="eastAsia" w:ascii="楷体_GB2312" w:hAnsi="楷体_GB2312" w:eastAsia="楷体_GB2312" w:cs="楷体_GB2312"/>
          <w:b/>
          <w:color w:val="auto"/>
          <w:sz w:val="32"/>
          <w:szCs w:val="32"/>
          <w:lang w:val="en-US" w:eastAsia="zh-CN"/>
        </w:rPr>
        <w:t>（三）参考文件</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参考的</w:t>
      </w:r>
      <w:r>
        <w:rPr>
          <w:rFonts w:hint="eastAsia" w:ascii="仿宋_GB2312" w:hAnsi="仿宋_GB2312" w:cs="仿宋_GB2312"/>
        </w:rPr>
        <w:t>上级行政机关规范性文件</w:t>
      </w:r>
      <w:r>
        <w:rPr>
          <w:rFonts w:hint="eastAsia" w:ascii="仿宋_GB2312" w:hAnsi="仿宋_GB2312" w:cs="仿宋_GB2312"/>
          <w:lang w:eastAsia="zh-CN"/>
        </w:rPr>
        <w:t>和其他地市有关规范性文件有</w:t>
      </w:r>
      <w:r>
        <w:rPr>
          <w:rFonts w:hint="default" w:ascii="仿宋_GB2312"/>
          <w:bCs/>
          <w:color w:val="auto"/>
          <w:sz w:val="32"/>
          <w:szCs w:val="32"/>
        </w:rPr>
        <w:t>《自然资源部关于探索推进城市地下空间开发利用的指导意见》</w:t>
      </w:r>
      <w:r>
        <w:rPr>
          <w:rFonts w:hint="eastAsia" w:ascii="仿宋_GB2312" w:hAnsi="仿宋_GB2312" w:cs="仿宋_GB2312"/>
        </w:rPr>
        <w:t>《广东省自然资源厅关于地上地下国有建设用地使用权及其所附建筑物构筑物所有权确权登记暂行办法》</w:t>
      </w:r>
      <w:r>
        <w:rPr>
          <w:rFonts w:hint="eastAsia" w:ascii="仿宋_GB2312" w:hAnsi="仿宋_GB2312" w:eastAsia="仿宋_GB2312" w:cs="仿宋_GB2312"/>
          <w:lang w:val="en-US" w:eastAsia="zh-CN"/>
        </w:rPr>
        <w:t>《广州市地下空间开发利用管理办法》《深圳市地下空间开发利用管理办法》《中山市地下空间开发利用管理办法》</w:t>
      </w:r>
      <w:r>
        <w:rPr>
          <w:rFonts w:hint="eastAsia" w:ascii="仿宋_GB2312" w:hAnsi="仿宋_GB2312" w:cs="仿宋_GB2312"/>
          <w:lang w:val="en-US" w:eastAsia="zh-CN"/>
        </w:rPr>
        <w:t>等。</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rPr>
      </w:pPr>
      <w:r>
        <w:rPr>
          <w:rFonts w:hint="eastAsia" w:ascii="黑体" w:hAnsi="黑体" w:eastAsia="黑体" w:cs="黑体"/>
          <w:lang w:eastAsia="zh-CN"/>
        </w:rPr>
        <w:t>三</w:t>
      </w:r>
      <w:r>
        <w:rPr>
          <w:rFonts w:hint="eastAsia" w:ascii="黑体" w:hAnsi="黑体" w:eastAsia="黑体" w:cs="黑体"/>
        </w:rPr>
        <w:t>、主要内容说明</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《汕尾市市区地下空间开发利用管理暂行办法》</w:t>
      </w:r>
      <w:r>
        <w:rPr>
          <w:rFonts w:hint="eastAsia" w:ascii="仿宋_GB2312" w:hAnsi="仿宋_GB2312" w:eastAsia="仿宋_GB2312" w:cs="仿宋_GB2312"/>
        </w:rPr>
        <w:t>共八个章节、</w:t>
      </w:r>
      <w:r>
        <w:rPr>
          <w:rFonts w:hint="eastAsia" w:ascii="仿宋_GB2312" w:hAnsi="仿宋_GB2312" w:cs="仿宋_GB2312"/>
          <w:lang w:val="en-US" w:eastAsia="zh-Hans"/>
        </w:rPr>
        <w:t>三十</w:t>
      </w:r>
      <w:r>
        <w:rPr>
          <w:rFonts w:hint="eastAsia" w:ascii="仿宋_GB2312" w:hAnsi="仿宋_GB2312" w:cs="仿宋_GB2312"/>
          <w:lang w:val="en-US" w:eastAsia="zh-CN"/>
        </w:rPr>
        <w:t>八</w:t>
      </w:r>
      <w:r>
        <w:rPr>
          <w:rFonts w:hint="eastAsia" w:ascii="仿宋_GB2312" w:hAnsi="仿宋_GB2312" w:eastAsia="仿宋_GB2312" w:cs="仿宋_GB2312"/>
        </w:rPr>
        <w:t>条，包括总则、规划管理、用地管理、工程建设管理、不动产登记、使用与监督管理、法律责任、附则。第一章“总则”，对本办法的适用范围、地下空间开发利用原则、相关部门权责、土地权利人义务等进行了规定。第二章“规划管理”，对开发利用规划原则、开发利用规划内容、编制主体、编制要求、规划许可等进行了规定。第三章“用地管理”，对地下建设用地使用权供应、</w:t>
      </w:r>
      <w:r>
        <w:rPr>
          <w:rFonts w:hint="default" w:ascii="仿宋_GB2312" w:hAnsi="仿宋_GB2312" w:eastAsia="仿宋_GB2312" w:cs="仿宋_GB2312"/>
          <w:sz w:val="32"/>
          <w:szCs w:val="32"/>
          <w:highlight w:val="none"/>
          <w:lang w:eastAsia="zh-CN"/>
        </w:rPr>
        <w:t>地下空间建设用地使用权</w:t>
      </w:r>
      <w:r>
        <w:rPr>
          <w:rFonts w:hint="eastAsia" w:ascii="仿宋_GB2312" w:hAnsi="仿宋_GB2312" w:eastAsia="仿宋_GB2312" w:cs="仿宋_GB2312"/>
        </w:rPr>
        <w:t>出让金等进行了规定。第四章“工程建设管理”，对地下空间工程建设要求、施工许可、地下连通义务等进行了规定。第五章“不动产登记”，对地下建设用地使用权和建（构）筑物所有权不动产登记进行了规定。第六章“使用与监督管理”，对地下空间物业、设施的日常管理和维修维护等进行了规定。第七章“法律责任”，对违反本办法规定、侵害合法权益等行为需承担的法律责任进行了规定。第八章“附则”，对本办法的实施日期、不适用范围等进行了规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lang w:val="en-US" w:eastAsia="zh-Hans"/>
        </w:rPr>
      </w:pPr>
      <w:r>
        <w:rPr>
          <w:rFonts w:hint="eastAsia" w:ascii="黑体" w:hAnsi="黑体" w:eastAsia="黑体" w:cs="黑体"/>
          <w:lang w:val="en-US" w:eastAsia="zh-CN"/>
        </w:rPr>
        <w:t>四、</w:t>
      </w:r>
      <w:r>
        <w:rPr>
          <w:rFonts w:hint="eastAsia" w:ascii="黑体" w:hAnsi="黑体" w:eastAsia="黑体" w:cs="黑体"/>
          <w:lang w:val="en-US" w:eastAsia="zh-Hans"/>
        </w:rPr>
        <w:t>需要说明的问题</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eastAsia" w:ascii="仿宋_GB2312" w:hAnsi="仿宋_GB2312" w:cs="仿宋_GB2312"/>
          <w:b/>
          <w:bCs/>
          <w:lang w:val="en-US" w:eastAsia="zh-CN"/>
        </w:rPr>
      </w:pPr>
      <w:r>
        <w:rPr>
          <w:rFonts w:hint="eastAsia" w:ascii="仿宋_GB2312" w:hAnsi="仿宋_GB2312" w:cs="仿宋_GB2312"/>
          <w:b/>
          <w:bCs/>
          <w:lang w:eastAsia="zh-CN"/>
        </w:rPr>
        <w:t>（一）</w:t>
      </w:r>
      <w:r>
        <w:rPr>
          <w:rFonts w:hint="eastAsia" w:ascii="仿宋_GB2312" w:hAnsi="仿宋_GB2312" w:eastAsia="仿宋_GB2312" w:cs="仿宋_GB2312"/>
          <w:b/>
          <w:bCs/>
          <w:lang w:val="en-US" w:eastAsia="zh-CN"/>
        </w:rPr>
        <w:t>关于</w:t>
      </w:r>
      <w:r>
        <w:rPr>
          <w:rFonts w:hint="eastAsia" w:ascii="仿宋_GB2312" w:hAnsi="仿宋_GB2312" w:cs="仿宋_GB2312"/>
          <w:b/>
          <w:bCs/>
          <w:lang w:val="en-US" w:eastAsia="zh-CN"/>
        </w:rPr>
        <w:t>文件的适用范围</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eastAsia="仿宋_GB2312"/>
          <w:bCs/>
          <w:color w:val="auto"/>
          <w:sz w:val="32"/>
          <w:szCs w:val="32"/>
          <w:shd w:val="clear"/>
          <w:lang w:val="en-US" w:eastAsia="zh-CN"/>
        </w:rPr>
        <w:t>为便于文件操作试行，将文件的适用范围</w:t>
      </w:r>
      <w:r>
        <w:rPr>
          <w:rFonts w:hint="eastAsia" w:ascii="仿宋_GB2312"/>
          <w:bCs/>
          <w:color w:val="auto"/>
          <w:sz w:val="32"/>
          <w:szCs w:val="32"/>
          <w:shd w:val="clear"/>
          <w:lang w:val="en-US" w:eastAsia="zh-CN"/>
        </w:rPr>
        <w:t>规定为</w:t>
      </w:r>
      <w:r>
        <w:rPr>
          <w:rFonts w:hint="eastAsia" w:ascii="仿宋_GB2312" w:hAnsi="仿宋_GB2312" w:eastAsia="仿宋_GB2312" w:cs="仿宋_GB2312"/>
          <w:sz w:val="32"/>
          <w:szCs w:val="32"/>
          <w:highlight w:val="none"/>
        </w:rPr>
        <w:t>适用于我市市区（包括市城区、红海湾经济开发区、华侨管理区）</w:t>
      </w:r>
      <w:r>
        <w:rPr>
          <w:rFonts w:hint="eastAsia" w:ascii="仿宋_GB2312" w:hAnsi="仿宋_GB2312" w:eastAsia="仿宋_GB2312" w:cs="仿宋_GB2312"/>
          <w:sz w:val="32"/>
          <w:szCs w:val="32"/>
          <w:highlight w:val="none"/>
          <w:lang w:eastAsia="zh-CN"/>
        </w:rPr>
        <w:t>国有建设用地</w:t>
      </w:r>
      <w:r>
        <w:rPr>
          <w:rFonts w:hint="eastAsia" w:ascii="仿宋_GB2312" w:hAnsi="仿宋_GB2312" w:eastAsia="仿宋_GB2312" w:cs="仿宋_GB2312"/>
          <w:sz w:val="32"/>
          <w:szCs w:val="32"/>
          <w:highlight w:val="none"/>
        </w:rPr>
        <w:t>范围内地下空间的开发利用管理。农村居民点居民自建自用的地下建</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构</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筑物管理不适用于本办法。</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642" w:firstLineChars="200"/>
        <w:textAlignment w:val="auto"/>
        <w:rPr>
          <w:rFonts w:hint="eastAsia" w:ascii="仿宋_GB2312" w:hAnsi="仿宋_GB2312" w:cs="仿宋_GB2312"/>
          <w:lang w:eastAsia="zh-Hans"/>
        </w:rPr>
      </w:pPr>
      <w:r>
        <w:rPr>
          <w:rFonts w:hint="eastAsia" w:ascii="仿宋_GB2312" w:hAnsi="仿宋_GB2312" w:cs="仿宋_GB2312"/>
          <w:b/>
          <w:bCs/>
          <w:lang w:eastAsia="zh-CN"/>
        </w:rPr>
        <w:t>（二）</w:t>
      </w:r>
      <w:r>
        <w:rPr>
          <w:rFonts w:hint="eastAsia" w:ascii="仿宋_GB2312" w:hAnsi="仿宋_GB2312" w:cs="仿宋_GB2312"/>
          <w:b/>
          <w:bCs/>
          <w:lang w:val="en-US" w:eastAsia="zh-Hans"/>
        </w:rPr>
        <w:t>关于</w:t>
      </w:r>
      <w:r>
        <w:rPr>
          <w:rFonts w:hint="default" w:ascii="仿宋_GB2312" w:hAnsi="仿宋_GB2312" w:eastAsia="仿宋_GB2312" w:cs="仿宋_GB2312"/>
          <w:b/>
          <w:bCs/>
          <w:sz w:val="32"/>
          <w:szCs w:val="32"/>
          <w:highlight w:val="none"/>
          <w:lang w:eastAsia="zh-CN"/>
        </w:rPr>
        <w:t>地下空间建设用地使用权</w:t>
      </w:r>
      <w:r>
        <w:rPr>
          <w:rFonts w:hint="eastAsia" w:ascii="仿宋_GB2312" w:hAnsi="仿宋_GB2312" w:eastAsia="仿宋_GB2312" w:cs="仿宋_GB2312"/>
          <w:b/>
          <w:bCs/>
        </w:rPr>
        <w:t>出让金</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640" w:firstLineChars="0"/>
        <w:textAlignment w:val="auto"/>
        <w:rPr>
          <w:rFonts w:hint="eastAsia" w:ascii="仿宋_GB2312" w:hAnsi="仿宋_GB2312" w:cs="仿宋_GB2312"/>
          <w:lang w:eastAsia="zh-Hans"/>
        </w:rPr>
      </w:pPr>
      <w:r>
        <w:rPr>
          <w:rFonts w:hint="eastAsia" w:ascii="仿宋_GB2312"/>
          <w:bCs/>
          <w:color w:val="auto"/>
          <w:sz w:val="32"/>
          <w:szCs w:val="32"/>
          <w:shd w:val="clear"/>
          <w:lang w:eastAsia="zh-CN"/>
        </w:rPr>
        <w:t>依据《自然资源部关于探索推进城市地下空间开发利用的指导意见》的规定，</w:t>
      </w:r>
      <w:r>
        <w:rPr>
          <w:rFonts w:hint="default" w:ascii="仿宋_GB2312" w:hAnsi="仿宋_GB2312" w:cs="仿宋_GB2312"/>
          <w:lang w:eastAsia="zh-Hans"/>
        </w:rPr>
        <w:t>参照</w:t>
      </w:r>
      <w:r>
        <w:rPr>
          <w:rFonts w:hint="eastAsia" w:ascii="仿宋_GB2312" w:hAnsi="仿宋_GB2312" w:cs="仿宋_GB2312"/>
          <w:lang w:eastAsia="zh-CN"/>
        </w:rPr>
        <w:t>广州的做法，</w:t>
      </w:r>
      <w:r>
        <w:rPr>
          <w:rFonts w:hint="default" w:ascii="仿宋_GB2312" w:hAnsi="仿宋_GB2312" w:cs="仿宋_GB2312"/>
          <w:lang w:eastAsia="zh-Hans"/>
        </w:rPr>
        <w:t>考虑汕尾市基准地价等情况，</w:t>
      </w:r>
      <w:r>
        <w:rPr>
          <w:rFonts w:hint="eastAsia" w:ascii="仿宋_GB2312" w:hAnsi="仿宋_GB2312" w:eastAsia="仿宋_GB2312" w:cs="仿宋_GB2312"/>
          <w:lang w:val="en-US" w:eastAsia="zh-CN"/>
        </w:rPr>
        <w:t>《汕尾市市区地下空间开发利用管理暂行办法》</w:t>
      </w:r>
      <w:r>
        <w:rPr>
          <w:rFonts w:hint="eastAsia" w:ascii="仿宋_GB2312" w:hAnsi="仿宋_GB2312" w:cs="仿宋_GB2312"/>
          <w:lang w:val="en-US" w:eastAsia="zh-Hans"/>
        </w:rPr>
        <w:t>规定</w:t>
      </w:r>
      <w:r>
        <w:rPr>
          <w:rFonts w:hint="eastAsia" w:ascii="仿宋_GB2312" w:hAnsi="仿宋_GB2312" w:cs="仿宋_GB2312"/>
          <w:lang w:eastAsia="zh-Hans"/>
        </w:rPr>
        <w:t>商品住宅等经营性用地配建未纳入容积率计算的结建式地下停车位（库），在符合建设工程规划的前提下需分割销售的，需按依法受理补缴出让金申请时所在地段停车库用途基准地价（不作基准地价系数修正）的一定比例乘以登记建筑面积计收出让金，其中地下负一层的比例为30%，地下负二层比例为10%，地下负三层及以下不计收；不分割销售的部分不计收地价。</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640" w:firstLineChars="0"/>
        <w:textAlignment w:val="auto"/>
        <w:rPr>
          <w:rFonts w:hint="default" w:ascii="仿宋_GB2312" w:hAnsi="仿宋_GB2312" w:cs="仿宋_GB2312"/>
          <w:lang w:eastAsia="zh-Hans"/>
        </w:rPr>
      </w:pPr>
      <w:r>
        <w:rPr>
          <w:rFonts w:hint="default" w:ascii="仿宋_GB2312" w:hAnsi="仿宋_GB2312" w:cs="仿宋_GB2312"/>
          <w:lang w:eastAsia="zh-Hans"/>
        </w:rPr>
        <w:t>按照该标准，标准车位按照2.5*5米计算，共12.5平方米。市区主要区域一级公服基准地价在770元/㎡（环湖，健身广场至工业大道段），605元/㎡（环湖其他区域，中央商务区），462元/㎡（海滨西、金町、马宫、东涌等片区），测算负一层每个车位需补缴地价款约约2886元、2268元、1734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_GB2312" w:hAnsi="仿宋_GB2312" w:cs="仿宋_GB2312"/>
          <w:b/>
          <w:bCs/>
          <w:lang w:eastAsia="zh-CN"/>
        </w:rPr>
      </w:pPr>
      <w:r>
        <w:rPr>
          <w:rFonts w:hint="eastAsia" w:ascii="仿宋_GB2312" w:hAnsi="仿宋_GB2312" w:cs="仿宋_GB2312"/>
          <w:b/>
          <w:bCs/>
          <w:lang w:eastAsia="zh-CN"/>
        </w:rPr>
        <w:t>（三）关于不动产登记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cs="仿宋_GB2312"/>
          <w:lang w:eastAsia="zh-CN"/>
        </w:rPr>
      </w:pPr>
      <w:r>
        <w:rPr>
          <w:rFonts w:hint="eastAsia" w:ascii="仿宋_GB2312" w:hAnsi="仿宋_GB2312" w:eastAsia="仿宋_GB2312" w:cs="仿宋_GB2312"/>
          <w:lang w:val="en-US" w:eastAsia="zh-CN"/>
        </w:rPr>
        <w:t>《汕尾市市区地下空间开发利用管理暂行办法》</w:t>
      </w:r>
      <w:r>
        <w:rPr>
          <w:rFonts w:hint="eastAsia" w:ascii="仿宋_GB2312" w:eastAsia="仿宋_GB2312"/>
          <w:bCs/>
          <w:color w:val="auto"/>
          <w:sz w:val="32"/>
          <w:szCs w:val="32"/>
          <w:shd w:val="clear"/>
          <w:lang w:eastAsia="zh-CN"/>
        </w:rPr>
        <w:t>第五章“不动产登记”</w:t>
      </w:r>
      <w:r>
        <w:rPr>
          <w:rFonts w:hint="eastAsia" w:ascii="仿宋_GB2312"/>
          <w:bCs/>
          <w:color w:val="auto"/>
          <w:sz w:val="32"/>
          <w:szCs w:val="32"/>
          <w:shd w:val="clear"/>
          <w:lang w:eastAsia="zh-CN"/>
        </w:rPr>
        <w:t>的规定依据《自然资源部关于探索推进城市地下空间开发利用的指导意见》的有关规定，</w:t>
      </w:r>
      <w:r>
        <w:rPr>
          <w:rFonts w:hint="eastAsia" w:ascii="仿宋_GB2312"/>
          <w:bCs/>
          <w:color w:val="auto"/>
          <w:sz w:val="32"/>
          <w:szCs w:val="32"/>
          <w:shd w:val="clear"/>
          <w:lang w:val="en-US" w:eastAsia="zh-Hans"/>
        </w:rPr>
        <w:t>并参考</w:t>
      </w:r>
      <w:r>
        <w:rPr>
          <w:rFonts w:hint="eastAsia" w:ascii="仿宋_GB2312" w:eastAsia="仿宋_GB2312"/>
          <w:bCs/>
          <w:color w:val="auto"/>
          <w:sz w:val="32"/>
          <w:szCs w:val="32"/>
          <w:shd w:val="clear"/>
          <w:lang w:eastAsia="zh-CN"/>
        </w:rPr>
        <w:t>《</w:t>
      </w:r>
      <w:r>
        <w:rPr>
          <w:rFonts w:hint="eastAsia" w:ascii="仿宋_GB2312" w:eastAsia="仿宋_GB2312"/>
          <w:bCs/>
          <w:color w:val="auto"/>
          <w:sz w:val="32"/>
          <w:szCs w:val="32"/>
          <w:shd w:val="clear"/>
          <w:lang w:val="en-US" w:eastAsia="zh-Hans"/>
        </w:rPr>
        <w:t>广东省自然资源厅关于地上地下国有建设用地使用权及其所附建筑物构筑物所有权确权登记暂行办法</w:t>
      </w:r>
      <w:r>
        <w:rPr>
          <w:rFonts w:hint="eastAsia" w:ascii="仿宋_GB2312" w:eastAsia="仿宋_GB2312"/>
          <w:bCs/>
          <w:color w:val="auto"/>
          <w:sz w:val="32"/>
          <w:szCs w:val="32"/>
          <w:shd w:val="clear"/>
          <w:lang w:eastAsia="zh-CN"/>
        </w:rPr>
        <w:t>》的</w:t>
      </w:r>
      <w:r>
        <w:rPr>
          <w:rFonts w:hint="eastAsia" w:ascii="仿宋_GB2312"/>
          <w:bCs/>
          <w:color w:val="auto"/>
          <w:sz w:val="32"/>
          <w:szCs w:val="32"/>
          <w:shd w:val="clear"/>
          <w:lang w:eastAsia="zh-CN"/>
        </w:rPr>
        <w:t>相关</w:t>
      </w:r>
      <w:r>
        <w:rPr>
          <w:rFonts w:hint="eastAsia" w:ascii="仿宋_GB2312" w:eastAsia="仿宋_GB2312"/>
          <w:bCs/>
          <w:color w:val="auto"/>
          <w:sz w:val="32"/>
          <w:szCs w:val="32"/>
          <w:shd w:val="clear"/>
          <w:lang w:eastAsia="zh-CN"/>
        </w:rPr>
        <w:t>规定</w:t>
      </w:r>
      <w:r>
        <w:rPr>
          <w:rFonts w:hint="eastAsia" w:ascii="仿宋_GB2312"/>
          <w:bCs/>
          <w:color w:val="auto"/>
          <w:sz w:val="32"/>
          <w:szCs w:val="32"/>
          <w:shd w:val="clear"/>
          <w:lang w:eastAsia="zh-CN"/>
        </w:rPr>
        <w:t>起草</w:t>
      </w:r>
      <w:r>
        <w:rPr>
          <w:rFonts w:hint="eastAsia" w:ascii="仿宋_GB2312" w:eastAsia="仿宋_GB2312"/>
          <w:bCs/>
          <w:color w:val="auto"/>
          <w:sz w:val="32"/>
          <w:szCs w:val="32"/>
          <w:shd w:val="clear"/>
          <w:lang w:eastAsia="zh-CN"/>
        </w:rPr>
        <w:t>。目前，《</w:t>
      </w:r>
      <w:r>
        <w:rPr>
          <w:rFonts w:hint="eastAsia" w:ascii="仿宋_GB2312" w:eastAsia="仿宋_GB2312"/>
          <w:bCs/>
          <w:color w:val="auto"/>
          <w:sz w:val="32"/>
          <w:szCs w:val="32"/>
          <w:shd w:val="clear"/>
          <w:lang w:val="en-US" w:eastAsia="zh-Hans"/>
        </w:rPr>
        <w:t>广东省自然资源厅关于地上地下国有建设用地使用权及其所附建筑物构筑物所有权确权登记暂行办法</w:t>
      </w:r>
      <w:r>
        <w:rPr>
          <w:rFonts w:hint="eastAsia" w:ascii="仿宋_GB2312" w:eastAsia="仿宋_GB2312"/>
          <w:bCs/>
          <w:color w:val="auto"/>
          <w:sz w:val="32"/>
          <w:szCs w:val="32"/>
          <w:shd w:val="clear"/>
          <w:lang w:eastAsia="zh-CN"/>
        </w:rPr>
        <w:t>》</w:t>
      </w:r>
      <w:r>
        <w:rPr>
          <w:rFonts w:hint="eastAsia" w:ascii="仿宋_GB2312"/>
          <w:bCs/>
          <w:color w:val="auto"/>
          <w:sz w:val="32"/>
          <w:szCs w:val="32"/>
          <w:shd w:val="clear"/>
          <w:lang w:eastAsia="zh-CN"/>
        </w:rPr>
        <w:t>于</w:t>
      </w:r>
      <w:r>
        <w:rPr>
          <w:rFonts w:hint="eastAsia" w:ascii="仿宋_GB2312"/>
          <w:bCs/>
          <w:color w:val="auto"/>
          <w:sz w:val="32"/>
          <w:szCs w:val="32"/>
          <w:shd w:val="clear"/>
          <w:lang w:val="en-US" w:eastAsia="zh-CN"/>
        </w:rPr>
        <w:t>2024年7月1日期满自动</w:t>
      </w:r>
      <w:r>
        <w:rPr>
          <w:rFonts w:hint="eastAsia" w:ascii="仿宋_GB2312" w:eastAsia="仿宋_GB2312"/>
          <w:bCs/>
          <w:color w:val="auto"/>
          <w:sz w:val="32"/>
          <w:szCs w:val="32"/>
          <w:shd w:val="clear"/>
          <w:lang w:eastAsia="zh-CN"/>
        </w:rPr>
        <w:t>失效，</w:t>
      </w:r>
      <w:r>
        <w:rPr>
          <w:rFonts w:hint="eastAsia" w:ascii="仿宋_GB2312"/>
          <w:bCs/>
          <w:color w:val="auto"/>
          <w:sz w:val="32"/>
          <w:szCs w:val="32"/>
          <w:shd w:val="clear"/>
          <w:lang w:eastAsia="zh-CN"/>
        </w:rPr>
        <w:t>暂未有新的规定，</w:t>
      </w:r>
      <w:r>
        <w:rPr>
          <w:rFonts w:hint="eastAsia" w:ascii="仿宋_GB2312" w:eastAsia="仿宋_GB2312"/>
          <w:bCs/>
          <w:color w:val="auto"/>
          <w:sz w:val="32"/>
          <w:szCs w:val="32"/>
          <w:shd w:val="clear"/>
          <w:lang w:eastAsia="zh-CN"/>
        </w:rPr>
        <w:t>第五章“不动产登记”</w:t>
      </w:r>
      <w:r>
        <w:rPr>
          <w:rFonts w:hint="eastAsia" w:ascii="仿宋_GB2312"/>
          <w:bCs/>
          <w:color w:val="auto"/>
          <w:sz w:val="32"/>
          <w:szCs w:val="32"/>
          <w:shd w:val="clear"/>
          <w:lang w:eastAsia="zh-CN"/>
        </w:rPr>
        <w:t>的规定</w:t>
      </w:r>
      <w:r>
        <w:rPr>
          <w:rFonts w:hint="eastAsia" w:ascii="仿宋_GB2312"/>
          <w:bCs/>
          <w:color w:val="auto"/>
          <w:sz w:val="32"/>
          <w:szCs w:val="32"/>
          <w:shd w:val="clear"/>
          <w:lang w:val="en-US" w:eastAsia="zh-Hans"/>
        </w:rPr>
        <w:t>主要</w:t>
      </w:r>
      <w:r>
        <w:rPr>
          <w:rFonts w:hint="eastAsia" w:ascii="仿宋_GB2312"/>
          <w:bCs/>
          <w:color w:val="auto"/>
          <w:sz w:val="32"/>
          <w:szCs w:val="32"/>
          <w:shd w:val="clear"/>
          <w:lang w:eastAsia="zh-CN"/>
        </w:rPr>
        <w:t>参照</w:t>
      </w:r>
      <w:r>
        <w:rPr>
          <w:rFonts w:hint="eastAsia" w:ascii="仿宋_GB2312" w:eastAsia="仿宋_GB2312"/>
          <w:bCs/>
          <w:color w:val="auto"/>
          <w:sz w:val="32"/>
          <w:szCs w:val="32"/>
          <w:shd w:val="clear"/>
          <w:lang w:eastAsia="zh-CN"/>
        </w:rPr>
        <w:t>《</w:t>
      </w:r>
      <w:r>
        <w:rPr>
          <w:rFonts w:hint="eastAsia" w:ascii="仿宋_GB2312" w:eastAsia="仿宋_GB2312"/>
          <w:bCs/>
          <w:color w:val="auto"/>
          <w:sz w:val="32"/>
          <w:szCs w:val="32"/>
          <w:shd w:val="clear"/>
          <w:lang w:val="en-US" w:eastAsia="zh-Hans"/>
        </w:rPr>
        <w:t>广东省自然资源厅关于地上地下国有建设用地使用权及其所附建筑物构筑物所有权确权登记暂行办法</w:t>
      </w:r>
      <w:r>
        <w:rPr>
          <w:rFonts w:hint="eastAsia" w:ascii="仿宋_GB2312" w:eastAsia="仿宋_GB2312"/>
          <w:bCs/>
          <w:color w:val="auto"/>
          <w:sz w:val="32"/>
          <w:szCs w:val="32"/>
          <w:shd w:val="clear"/>
          <w:lang w:eastAsia="zh-CN"/>
        </w:rPr>
        <w:t>》</w:t>
      </w:r>
      <w:r>
        <w:rPr>
          <w:rFonts w:hint="eastAsia" w:ascii="仿宋_GB2312"/>
          <w:bCs/>
          <w:color w:val="auto"/>
          <w:sz w:val="32"/>
          <w:szCs w:val="32"/>
          <w:shd w:val="clear"/>
          <w:lang w:eastAsia="zh-CN"/>
        </w:rPr>
        <w:t>的相关规定执行。</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_GB2312" w:hAnsi="仿宋_GB2312" w:cs="仿宋_GB2312"/>
          <w:lang w:val="en-US" w:eastAsia="zh-CN"/>
        </w:rPr>
      </w:pPr>
      <w:bookmarkStart w:id="0" w:name="_GoBack"/>
      <w:bookmarkEnd w:id="0"/>
    </w:p>
    <w:sectPr>
      <w:headerReference r:id="rId3" w:type="default"/>
      <w:footerReference r:id="rId4" w:type="default"/>
      <w:pgSz w:w="11906" w:h="16838"/>
      <w:pgMar w:top="2098" w:right="1474" w:bottom="1984" w:left="1587" w:header="567" w:footer="1417" w:gutter="0"/>
      <w:cols w:space="720" w:num="1"/>
      <w:docGrid w:type="lines" w:linePitch="446" w:charSpace="0"/>
    </w:sectPr>
  </w:body>
</w:document>
</file>

<file path=word/customizations.xml><?xml version="1.0" encoding="utf-8"?>
<wne:tcg xmlns:r="http://schemas.openxmlformats.org/officeDocument/2006/relationships" xmlns:wne="http://schemas.microsoft.com/office/word/2006/wordml">
  <wne:keymaps>
    <wne:keymap wne:kcmPrimary="0436">
      <wne:acd wne:acdName="acd0"/>
    </wne:keymap>
    <wne:keymap wne:kcmPrimary="064E">
      <wne:acd wne:acdName="acd1"/>
    </wne:keymap>
  </wne:keymaps>
  <wne:acds>
    <wne:acd wne:argValue="AQAAACAA" wne:acdName="acd0" wne:fciIndexBasedOn="0065"/>
    <wne:acd wne:argValue="AQAAAAA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Calibri Light">
    <w:altName w:val="DejaVu Sans"/>
    <w:panose1 w:val="020F0302020204030204"/>
    <w:charset w:val="00"/>
    <w:family w:val="swiss"/>
    <w:pitch w:val="default"/>
    <w:sig w:usb0="00000000" w:usb1="00000000"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Arial">
    <w:altName w:val="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sz w:val="1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t>1</w:t>
                          </w:r>
                          <w:r>
                            <w:rPr>
                              <w:rFonts w:hint="eastAsia"/>
                              <w:sz w:val="28"/>
                              <w:szCs w:val="28"/>
                            </w:rPr>
                            <w:fldChar w:fldCharType="end"/>
                          </w:r>
                          <w:r>
                            <w:rPr>
                              <w:rFonts w:hint="eastAsia"/>
                              <w:sz w:val="28"/>
                              <w:szCs w:val="28"/>
                            </w:rPr>
                            <w:t xml:space="preserve">  —</w:t>
                          </w:r>
                        </w:p>
                      </w:txbxContent>
                    </wps:txbx>
                    <wps:bodyPr wrap="none" lIns="0" tIns="0" rIns="0" bIns="0" upright="false">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QbTA+zAQAAUgMAAA4AAABkcnMv&#10;ZTJvRG9jLnhtbK1TS24bMQzdF8gdBO1rjb0IjIHlIEGQoEDQFkh7AFkjeQToB0r2jC/Q3qCrbrrv&#10;uXyOUrLH6WdXZKOhSM7jeyS1uhmdJXsFyQTP6XzWUKK8DJ3xW04/f3p4u6QkZeE7YYNXnB5Uojfr&#10;qzerIbZqEfpgOwUEQXxqh8hpn3NsGUuyV06kWYjKY1AHcCLjFbasAzEgurNs0TTXbAjQRQhSpYTe&#10;+1OQriu+1krmD1onlYnlFLnlekI9N+Vk65VotyBib+SZhvgPFk4Yj0UvUPciC7ID8w+UMxJCCjrP&#10;ZHAsaG2kqhpQzbz5S81zL6KqWrA5KV7alF4PVr7ffwRiOk4XlHjhcETHb1+P338ef3wh16U9Q0wt&#10;Zj1HzMvjXRg5zbBTUyihvwgfNbjyRUkEU7DXh0t/1ZiJROd8uVguGwxJjE0XLMFefo+Q8qMKjhSD&#10;U8AB1r6K/VPKp9QppVTz4cFYW4do/R8OxCweVuifOBYrj5vxrGkTugNKGnD2nHpcTkrsO4+tLWsy&#10;GTAZm8nYRTDbHqlpYVMZjkD4211GIpVfqXKCPhfHwVWF5yUrm/H7vWa9PIX1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UG0wPswEAAFIDAAAOAAAAAAAAAAEAIAAAADQ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t>1</w:t>
                    </w:r>
                    <w:r>
                      <w:rPr>
                        <w:rFonts w:hint="eastAsia"/>
                        <w:sz w:val="28"/>
                        <w:szCs w:val="28"/>
                      </w:rPr>
                      <w:fldChar w:fldCharType="end"/>
                    </w:r>
                    <w:r>
                      <w:rPr>
                        <w:rFonts w:hint="eastAsia"/>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eastAsia="宋体"/>
                              <w:sz w:val="18"/>
                            </w:rPr>
                          </w:pPr>
                        </w:p>
                      </w:txbxContent>
                    </wps:txbx>
                    <wps:bodyPr wrap="none" lIns="0" tIns="0" rIns="0" bIns="0" upright="false">
                      <a:spAutoFit/>
                    </wps:bodyPr>
                  </wps:wsp>
                </a:graphicData>
              </a:graphic>
            </wp:anchor>
          </w:drawing>
        </mc:Choice>
        <mc:Fallback>
          <w:pict>
            <v:rect id="文本框2"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Dvfd0qgEAAEQDAAAOAAAAZHJz&#10;L2Uyb0RvYy54bWytUktu2zAQ3QfoHQjua8peFIZgOQgQJAgQNAHSHICmSIsAfxjSlnyB9gZdddN9&#10;z+VzdEhLTtLugmyomSH15r03s7ocrCF7CVF719D5rKJEOuFb7bYNff5283lJSUzctdx4Jxt6kJFe&#10;rj9drPpQy4XvvGklEARxse5DQ7uUQs1YFJ20PM58kA4vlQfLE6awZS3wHtGtYYuq+sJ6D20AL2SM&#10;WL0+XdJ1wVdKivSgVJSJmIYit1ROKOcmn2y94vUWeOi0GGnwd7CwXDtseoa65omTHej/oKwW4KNX&#10;aSa8ZV4pLWTRgGrm1T9qnjoeZNGC5sRwtil+HKz4un8EolucHSWOWxzR8eeP468/x9/fF9mdPsQa&#10;Hz2FRxiziGGWOiiw+YsiyFAcPZwdlUMiAovz5WK5rNB4gXdTgjjs5fcAMd1Kb0kOGgo4suIk39/H&#10;dHo6PcndnL/RxmCd18a9KSBmrrDM+MQxR2nYDCPxjW8PKLbHaTfU4TpSYu4cmpkXYwpgCjZTsAug&#10;tx1SU9zEPA6O8Fe7hEQKv9zlBD02x1EVheNa5V14nZdXL8u//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C5dblS0AAAAAUBAAAPAAAAAAAAAAEAIAAAADgAAABkcnMvZG93bnJldi54bWxQSwECFAAU&#10;AAAACACHTuJAA733dKoBAABEAwAADgAAAAAAAAABACAAAAA1AQAAZHJzL2Uyb0RvYy54bWxQSwUG&#10;AAAAAAYABgBZAQAAUQUAAAAA&#10;">
              <v:fill on="f" focussize="0,0"/>
              <v:stroke on="f"/>
              <v:imagedata o:title=""/>
              <o:lock v:ext="edit" aspectratio="f"/>
              <v:textbox inset="0mm,0mm,0mm,0mm" style="mso-fit-shape-to-text:t;">
                <w:txbxContent>
                  <w:p>
                    <w:pPr>
                      <w:snapToGrid w:val="0"/>
                      <w:rPr>
                        <w:rFonts w:hint="eastAsia" w:eastAsia="宋体"/>
                        <w:sz w:val="18"/>
                      </w:rPr>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B61B98"/>
    <w:multiLevelType w:val="singleLevel"/>
    <w:tmpl w:val="8EB61B98"/>
    <w:lvl w:ilvl="0" w:tentative="0">
      <w:start w:val="1"/>
      <w:numFmt w:val="chineseCounting"/>
      <w:suff w:val="nothing"/>
      <w:lvlText w:val="（%1）"/>
      <w:lvlJc w:val="left"/>
      <w:rPr>
        <w:rFonts w:hint="eastAsia"/>
      </w:rPr>
    </w:lvl>
  </w:abstractNum>
  <w:abstractNum w:abstractNumId="1">
    <w:nsid w:val="AE5818B5"/>
    <w:multiLevelType w:val="singleLevel"/>
    <w:tmpl w:val="AE5818B5"/>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73"/>
  <w:drawingGridVerticalSpacing w:val="224"/>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zMDRiNDYwNTk1MDcwNTBiNjhkMjcwYzc5NTJlYjQifQ=="/>
  </w:docVars>
  <w:rsids>
    <w:rsidRoot w:val="00172A27"/>
    <w:rsid w:val="00013C89"/>
    <w:rsid w:val="00027329"/>
    <w:rsid w:val="0006137F"/>
    <w:rsid w:val="00155A14"/>
    <w:rsid w:val="00197C25"/>
    <w:rsid w:val="0042166D"/>
    <w:rsid w:val="00454BD4"/>
    <w:rsid w:val="005730F9"/>
    <w:rsid w:val="00594F21"/>
    <w:rsid w:val="007C32A0"/>
    <w:rsid w:val="008B00FB"/>
    <w:rsid w:val="00AA7222"/>
    <w:rsid w:val="00B13453"/>
    <w:rsid w:val="00BB2120"/>
    <w:rsid w:val="00BF141F"/>
    <w:rsid w:val="00C01435"/>
    <w:rsid w:val="00C90750"/>
    <w:rsid w:val="00E47054"/>
    <w:rsid w:val="00EF22D1"/>
    <w:rsid w:val="00FD4E1A"/>
    <w:rsid w:val="02095F7C"/>
    <w:rsid w:val="020E0D22"/>
    <w:rsid w:val="02882DE9"/>
    <w:rsid w:val="02B755B4"/>
    <w:rsid w:val="032457CD"/>
    <w:rsid w:val="03C4239E"/>
    <w:rsid w:val="043E0C1E"/>
    <w:rsid w:val="04B1445D"/>
    <w:rsid w:val="050B43C9"/>
    <w:rsid w:val="06D176F8"/>
    <w:rsid w:val="072B6110"/>
    <w:rsid w:val="083B4E72"/>
    <w:rsid w:val="08ED69B2"/>
    <w:rsid w:val="0A0B7936"/>
    <w:rsid w:val="0A1037EB"/>
    <w:rsid w:val="0AAB5418"/>
    <w:rsid w:val="0ACE4A7B"/>
    <w:rsid w:val="0AD31F70"/>
    <w:rsid w:val="0B1017D4"/>
    <w:rsid w:val="0B841374"/>
    <w:rsid w:val="0C3B4F68"/>
    <w:rsid w:val="0C432A44"/>
    <w:rsid w:val="0C4A731D"/>
    <w:rsid w:val="0C5039B9"/>
    <w:rsid w:val="0C6B0875"/>
    <w:rsid w:val="0CD50F92"/>
    <w:rsid w:val="0CDD5268"/>
    <w:rsid w:val="0CEF17E8"/>
    <w:rsid w:val="0D666E73"/>
    <w:rsid w:val="0D944E95"/>
    <w:rsid w:val="0DA73E76"/>
    <w:rsid w:val="0DB207D0"/>
    <w:rsid w:val="0DF26131"/>
    <w:rsid w:val="0E412862"/>
    <w:rsid w:val="0E562DF2"/>
    <w:rsid w:val="0F194AEA"/>
    <w:rsid w:val="11FE5658"/>
    <w:rsid w:val="12835F24"/>
    <w:rsid w:val="12D61036"/>
    <w:rsid w:val="136F4921"/>
    <w:rsid w:val="13C02BAD"/>
    <w:rsid w:val="14144802"/>
    <w:rsid w:val="14194809"/>
    <w:rsid w:val="145535B1"/>
    <w:rsid w:val="14BB14C2"/>
    <w:rsid w:val="14D202B9"/>
    <w:rsid w:val="14D63C22"/>
    <w:rsid w:val="14ED1C08"/>
    <w:rsid w:val="15002023"/>
    <w:rsid w:val="152E5143"/>
    <w:rsid w:val="1537769E"/>
    <w:rsid w:val="154B0793"/>
    <w:rsid w:val="155B685E"/>
    <w:rsid w:val="156601DB"/>
    <w:rsid w:val="169D3653"/>
    <w:rsid w:val="171A44A5"/>
    <w:rsid w:val="178906C4"/>
    <w:rsid w:val="183172B4"/>
    <w:rsid w:val="18835CD8"/>
    <w:rsid w:val="19E9322C"/>
    <w:rsid w:val="1A8B64E4"/>
    <w:rsid w:val="1ABC669E"/>
    <w:rsid w:val="1AEE6F9A"/>
    <w:rsid w:val="1B466520"/>
    <w:rsid w:val="1BA64C9D"/>
    <w:rsid w:val="1CCC576F"/>
    <w:rsid w:val="1CE51C75"/>
    <w:rsid w:val="1E2414B4"/>
    <w:rsid w:val="1E4D0CD4"/>
    <w:rsid w:val="1ED63DC4"/>
    <w:rsid w:val="2048628C"/>
    <w:rsid w:val="20715644"/>
    <w:rsid w:val="21105727"/>
    <w:rsid w:val="22142CD7"/>
    <w:rsid w:val="22671A65"/>
    <w:rsid w:val="22677A3E"/>
    <w:rsid w:val="228D34DC"/>
    <w:rsid w:val="238E494F"/>
    <w:rsid w:val="24C56E11"/>
    <w:rsid w:val="25795004"/>
    <w:rsid w:val="267F540B"/>
    <w:rsid w:val="277A7EDE"/>
    <w:rsid w:val="27DD75FC"/>
    <w:rsid w:val="280804DB"/>
    <w:rsid w:val="28AC3485"/>
    <w:rsid w:val="28B05A16"/>
    <w:rsid w:val="2935529A"/>
    <w:rsid w:val="295968C7"/>
    <w:rsid w:val="29796CC3"/>
    <w:rsid w:val="2A424CBA"/>
    <w:rsid w:val="2A4354B2"/>
    <w:rsid w:val="2A566765"/>
    <w:rsid w:val="2C446971"/>
    <w:rsid w:val="2CA2657A"/>
    <w:rsid w:val="2D360989"/>
    <w:rsid w:val="2E545995"/>
    <w:rsid w:val="2E577C9A"/>
    <w:rsid w:val="2E9213D2"/>
    <w:rsid w:val="2FAB1CF5"/>
    <w:rsid w:val="301B2084"/>
    <w:rsid w:val="3070649E"/>
    <w:rsid w:val="324B4374"/>
    <w:rsid w:val="32FA3DF8"/>
    <w:rsid w:val="336427D2"/>
    <w:rsid w:val="33715D3B"/>
    <w:rsid w:val="33841588"/>
    <w:rsid w:val="33897451"/>
    <w:rsid w:val="33F5249A"/>
    <w:rsid w:val="343940DE"/>
    <w:rsid w:val="3544798A"/>
    <w:rsid w:val="356572C8"/>
    <w:rsid w:val="36C22E50"/>
    <w:rsid w:val="370F219B"/>
    <w:rsid w:val="372E2528"/>
    <w:rsid w:val="37853B2A"/>
    <w:rsid w:val="39232C12"/>
    <w:rsid w:val="392403AF"/>
    <w:rsid w:val="39950831"/>
    <w:rsid w:val="3A5F5ED9"/>
    <w:rsid w:val="3A7849C6"/>
    <w:rsid w:val="3A9E3341"/>
    <w:rsid w:val="3ACE468D"/>
    <w:rsid w:val="3B5A0548"/>
    <w:rsid w:val="3B8834F1"/>
    <w:rsid w:val="3CDE4B82"/>
    <w:rsid w:val="3D637412"/>
    <w:rsid w:val="3E210A5E"/>
    <w:rsid w:val="3E3D121B"/>
    <w:rsid w:val="3E491747"/>
    <w:rsid w:val="3ED153AE"/>
    <w:rsid w:val="3F7E308D"/>
    <w:rsid w:val="408056BB"/>
    <w:rsid w:val="40E33FA3"/>
    <w:rsid w:val="40EA22E3"/>
    <w:rsid w:val="41F152BA"/>
    <w:rsid w:val="423C7E79"/>
    <w:rsid w:val="425064F2"/>
    <w:rsid w:val="426A70E9"/>
    <w:rsid w:val="44E35C20"/>
    <w:rsid w:val="45110662"/>
    <w:rsid w:val="463A0103"/>
    <w:rsid w:val="46795C51"/>
    <w:rsid w:val="475311DD"/>
    <w:rsid w:val="47E3137B"/>
    <w:rsid w:val="490162F5"/>
    <w:rsid w:val="4A6878C6"/>
    <w:rsid w:val="4AC71432"/>
    <w:rsid w:val="4B8639CB"/>
    <w:rsid w:val="4B9460FE"/>
    <w:rsid w:val="4C233064"/>
    <w:rsid w:val="4C2B06FA"/>
    <w:rsid w:val="4D84736B"/>
    <w:rsid w:val="4E537DA9"/>
    <w:rsid w:val="4EA55A52"/>
    <w:rsid w:val="4F131901"/>
    <w:rsid w:val="4F7C2082"/>
    <w:rsid w:val="4F87078C"/>
    <w:rsid w:val="509F07BF"/>
    <w:rsid w:val="514703B5"/>
    <w:rsid w:val="519747D8"/>
    <w:rsid w:val="52A17D67"/>
    <w:rsid w:val="52C966CD"/>
    <w:rsid w:val="53240C45"/>
    <w:rsid w:val="53AC3CF8"/>
    <w:rsid w:val="53CF6FBB"/>
    <w:rsid w:val="53DA0C0B"/>
    <w:rsid w:val="542E2072"/>
    <w:rsid w:val="547124A5"/>
    <w:rsid w:val="54880097"/>
    <w:rsid w:val="54DC41ED"/>
    <w:rsid w:val="55074D05"/>
    <w:rsid w:val="553F1742"/>
    <w:rsid w:val="555C65D4"/>
    <w:rsid w:val="55CC69BC"/>
    <w:rsid w:val="565F3E59"/>
    <w:rsid w:val="56F76885"/>
    <w:rsid w:val="57382D1D"/>
    <w:rsid w:val="57D56F20"/>
    <w:rsid w:val="5806691B"/>
    <w:rsid w:val="58400F7C"/>
    <w:rsid w:val="584033AE"/>
    <w:rsid w:val="586048F0"/>
    <w:rsid w:val="58B95BFF"/>
    <w:rsid w:val="5AEB0ABF"/>
    <w:rsid w:val="5AEE1FBA"/>
    <w:rsid w:val="5AF619C1"/>
    <w:rsid w:val="5BE020BF"/>
    <w:rsid w:val="5C8214D4"/>
    <w:rsid w:val="5C8419CC"/>
    <w:rsid w:val="5DD61E6E"/>
    <w:rsid w:val="5E1E19CD"/>
    <w:rsid w:val="5E301CFD"/>
    <w:rsid w:val="5F18590D"/>
    <w:rsid w:val="5F694017"/>
    <w:rsid w:val="60210822"/>
    <w:rsid w:val="61A80E49"/>
    <w:rsid w:val="62933FF0"/>
    <w:rsid w:val="65A87E93"/>
    <w:rsid w:val="65D03136"/>
    <w:rsid w:val="65E337FE"/>
    <w:rsid w:val="660C77C0"/>
    <w:rsid w:val="67385182"/>
    <w:rsid w:val="674F393E"/>
    <w:rsid w:val="67577FAC"/>
    <w:rsid w:val="68545977"/>
    <w:rsid w:val="68B64FBE"/>
    <w:rsid w:val="68D50716"/>
    <w:rsid w:val="68EE3554"/>
    <w:rsid w:val="693E62C8"/>
    <w:rsid w:val="69B86140"/>
    <w:rsid w:val="69BF38C1"/>
    <w:rsid w:val="69CE5072"/>
    <w:rsid w:val="69FF61E9"/>
    <w:rsid w:val="6A080DC5"/>
    <w:rsid w:val="6AE176CB"/>
    <w:rsid w:val="6C810028"/>
    <w:rsid w:val="6D136DD2"/>
    <w:rsid w:val="6D6A00A3"/>
    <w:rsid w:val="6DDB306F"/>
    <w:rsid w:val="6E07347E"/>
    <w:rsid w:val="6EAB1C37"/>
    <w:rsid w:val="6ECF28F2"/>
    <w:rsid w:val="6FF5E3DB"/>
    <w:rsid w:val="700F0193"/>
    <w:rsid w:val="70605EE2"/>
    <w:rsid w:val="70E35F30"/>
    <w:rsid w:val="71D17A44"/>
    <w:rsid w:val="72A0400E"/>
    <w:rsid w:val="746E6C03"/>
    <w:rsid w:val="75532F01"/>
    <w:rsid w:val="758548A3"/>
    <w:rsid w:val="75DA5DF5"/>
    <w:rsid w:val="7676020A"/>
    <w:rsid w:val="78DF7324"/>
    <w:rsid w:val="78E55141"/>
    <w:rsid w:val="78ED40CE"/>
    <w:rsid w:val="78EF183C"/>
    <w:rsid w:val="7AD93877"/>
    <w:rsid w:val="7BA0569F"/>
    <w:rsid w:val="7BCD49FA"/>
    <w:rsid w:val="7D3E1883"/>
    <w:rsid w:val="7D9C66F3"/>
    <w:rsid w:val="7EEC2461"/>
    <w:rsid w:val="7F6F2E6A"/>
    <w:rsid w:val="DDFBB9DE"/>
    <w:rsid w:val="EDCFA876"/>
    <w:rsid w:val="F67B72DF"/>
    <w:rsid w:val="F7FD2C51"/>
    <w:rsid w:val="FC6E9B0B"/>
    <w:rsid w:val="FF7F98C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6" w:lineRule="auto"/>
      <w:outlineLvl w:val="1"/>
    </w:pPr>
    <w:rPr>
      <w:rFonts w:ascii="Cambria" w:hAnsi="Cambria"/>
      <w:b/>
      <w:bCs/>
      <w:kern w:val="0"/>
      <w:sz w:val="32"/>
      <w:szCs w:val="32"/>
    </w:rPr>
  </w:style>
  <w:style w:type="paragraph" w:styleId="4">
    <w:name w:val="heading 3"/>
    <w:basedOn w:val="1"/>
    <w:next w:val="1"/>
    <w:unhideWhenUsed/>
    <w:qFormat/>
    <w:uiPriority w:val="9"/>
    <w:pPr>
      <w:keepNext/>
      <w:keepLines/>
      <w:spacing w:line="413" w:lineRule="auto"/>
      <w:outlineLvl w:val="2"/>
    </w:pPr>
    <w:rPr>
      <w:rFonts w:ascii="Times New Roman" w:hAnsi="Times New Roman" w:eastAsia="宋体" w:cs="Times New Roman"/>
      <w:b/>
      <w:sz w:val="32"/>
    </w:rPr>
  </w:style>
  <w:style w:type="character" w:default="1" w:styleId="16">
    <w:name w:val="Default Paragraph Font"/>
    <w:link w:val="17"/>
    <w:qFormat/>
    <w:uiPriority w:val="0"/>
    <w:rPr>
      <w:szCs w:val="20"/>
    </w:rPr>
  </w:style>
  <w:style w:type="table" w:default="1" w:styleId="14">
    <w:name w:val="Normal Table"/>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jc w:val="center"/>
    </w:pPr>
    <w:rPr>
      <w:rFonts w:eastAsia="宋体"/>
      <w:b/>
      <w:sz w:val="44"/>
    </w:rPr>
  </w:style>
  <w:style w:type="paragraph" w:styleId="7">
    <w:name w:val="Plain Text"/>
    <w:basedOn w:val="1"/>
    <w:qFormat/>
    <w:uiPriority w:val="0"/>
    <w:rPr>
      <w:rFonts w:ascii="宋体" w:hAnsi="Courier New" w:eastAsia="宋体"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qFormat/>
    <w:uiPriority w:val="0"/>
    <w:pPr>
      <w:spacing w:before="240" w:beforeLines="0" w:after="60" w:afterLines="0" w:line="312" w:lineRule="auto"/>
      <w:jc w:val="center"/>
      <w:outlineLvl w:val="1"/>
    </w:pPr>
    <w:rPr>
      <w:rFonts w:ascii="Calibri Light" w:hAnsi="Calibri Light" w:cs="Times New Roman"/>
      <w:b/>
      <w:bCs/>
      <w:kern w:val="28"/>
      <w:sz w:val="32"/>
      <w:szCs w:val="32"/>
    </w:rPr>
  </w:style>
  <w:style w:type="paragraph" w:styleId="11">
    <w:name w:val="Body Text Indent 3"/>
    <w:basedOn w:val="1"/>
    <w:qFormat/>
    <w:uiPriority w:val="0"/>
    <w:pPr>
      <w:ind w:firstLine="321" w:firstLineChars="100"/>
    </w:pPr>
    <w:rPr>
      <w:rFonts w:ascii="宋体" w:eastAsia="宋体"/>
      <w:b/>
      <w:szCs w:val="32"/>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3">
    <w:name w:val="Title"/>
    <w:basedOn w:val="1"/>
    <w:next w:val="1"/>
    <w:qFormat/>
    <w:uiPriority w:val="0"/>
    <w:pPr>
      <w:spacing w:before="240" w:after="60"/>
      <w:jc w:val="center"/>
      <w:outlineLvl w:val="0"/>
    </w:pPr>
    <w:rPr>
      <w:rFonts w:ascii="Calibri Light" w:hAnsi="Calibri Light" w:cs="Times New Roman"/>
      <w:b/>
      <w:bCs/>
      <w:sz w:val="32"/>
      <w:szCs w:val="32"/>
    </w:rPr>
  </w:style>
  <w:style w:type="table" w:styleId="15">
    <w:name w:val="Table Grid"/>
    <w:basedOn w:val="1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Char Char Char"/>
    <w:basedOn w:val="1"/>
    <w:link w:val="16"/>
    <w:qFormat/>
    <w:uiPriority w:val="0"/>
    <w:rPr>
      <w:szCs w:val="20"/>
    </w:rPr>
  </w:style>
  <w:style w:type="character" w:styleId="18">
    <w:name w:val="Strong"/>
    <w:basedOn w:val="16"/>
    <w:qFormat/>
    <w:uiPriority w:val="0"/>
    <w:rPr>
      <w:b/>
    </w:rPr>
  </w:style>
  <w:style w:type="character" w:styleId="19">
    <w:name w:val="page number"/>
    <w:basedOn w:val="16"/>
    <w:qFormat/>
    <w:uiPriority w:val="0"/>
  </w:style>
  <w:style w:type="character" w:styleId="20">
    <w:name w:val="FollowedHyperlink"/>
    <w:qFormat/>
    <w:uiPriority w:val="0"/>
    <w:rPr>
      <w:color w:val="954F72"/>
      <w:szCs w:val="20"/>
      <w:u w:val="single"/>
    </w:rPr>
  </w:style>
  <w:style w:type="character" w:styleId="21">
    <w:name w:val="Hyperlink"/>
    <w:qFormat/>
    <w:uiPriority w:val="0"/>
    <w:rPr>
      <w:color w:val="0000FF"/>
      <w:szCs w:val="20"/>
      <w:u w:val="single"/>
    </w:rPr>
  </w:style>
  <w:style w:type="character" w:customStyle="1" w:styleId="22">
    <w:name w:val="_Style 21"/>
    <w:unhideWhenUsed/>
    <w:qFormat/>
    <w:uiPriority w:val="99"/>
    <w:rPr>
      <w:color w:val="605E5C"/>
      <w:szCs w:val="20"/>
      <w:shd w:val="clear" w:color="auto" w:fill="E1DFDD"/>
    </w:rPr>
  </w:style>
  <w:style w:type="paragraph" w:customStyle="1" w:styleId="23">
    <w:name w:val="正文 New New New New New New New New New New New New New New New New New New New New"/>
    <w:next w:val="24"/>
    <w:qFormat/>
    <w:uiPriority w:val="0"/>
    <w:pPr>
      <w:widowControl w:val="0"/>
      <w:jc w:val="both"/>
    </w:pPr>
    <w:rPr>
      <w:rFonts w:ascii="Calibri" w:hAnsi="Calibri" w:eastAsia="宋体" w:cs="Times New Roman"/>
      <w:kern w:val="2"/>
      <w:sz w:val="21"/>
      <w:szCs w:val="24"/>
      <w:lang w:val="en-US" w:eastAsia="zh-CN" w:bidi="ar-SA"/>
    </w:rPr>
  </w:style>
  <w:style w:type="paragraph" w:customStyle="1" w:styleId="24">
    <w:name w:val="标题 1 New New New"/>
    <w:basedOn w:val="25"/>
    <w:next w:val="25"/>
    <w:qFormat/>
    <w:uiPriority w:val="0"/>
    <w:pPr>
      <w:keepNext/>
      <w:keepLines/>
      <w:spacing w:before="340" w:beforeLines="0" w:after="330" w:afterLines="0" w:line="578" w:lineRule="auto"/>
      <w:outlineLvl w:val="0"/>
    </w:pPr>
    <w:rPr>
      <w:b/>
      <w:bCs/>
      <w:kern w:val="44"/>
      <w:sz w:val="44"/>
      <w:szCs w:val="44"/>
    </w:rPr>
  </w:style>
  <w:style w:type="paragraph" w:customStyle="1" w:styleId="25">
    <w:name w:val="正文 New New New"/>
    <w:next w:val="24"/>
    <w:qFormat/>
    <w:uiPriority w:val="0"/>
    <w:pPr>
      <w:widowControl w:val="0"/>
      <w:jc w:val="both"/>
    </w:pPr>
    <w:rPr>
      <w:rFonts w:ascii="Calibri" w:hAnsi="Calibri" w:eastAsia="宋体" w:cs="黑体"/>
      <w:kern w:val="2"/>
      <w:sz w:val="21"/>
      <w:szCs w:val="24"/>
      <w:lang w:val="en-US" w:eastAsia="zh-CN" w:bidi="ar-SA"/>
    </w:rPr>
  </w:style>
  <w:style w:type="paragraph" w:customStyle="1" w:styleId="26">
    <w:name w:val="Char"/>
    <w:basedOn w:val="1"/>
    <w:qFormat/>
    <w:uiPriority w:val="0"/>
    <w:pPr>
      <w:widowControl/>
      <w:spacing w:after="160" w:afterLines="0" w:line="240" w:lineRule="exact"/>
      <w:jc w:val="left"/>
    </w:pPr>
  </w:style>
  <w:style w:type="paragraph" w:customStyle="1" w:styleId="27">
    <w:name w:val="p0"/>
    <w:basedOn w:val="1"/>
    <w:qFormat/>
    <w:uiPriority w:val="0"/>
    <w:pPr>
      <w:widowControl/>
    </w:pPr>
    <w:rPr>
      <w:kern w:val="0"/>
      <w:szCs w:val="21"/>
    </w:rPr>
  </w:style>
  <w:style w:type="paragraph" w:customStyle="1" w:styleId="28">
    <w:name w:val=" Char Char Char"/>
    <w:basedOn w:val="1"/>
    <w:qFormat/>
    <w:uiPriority w:val="0"/>
  </w:style>
  <w:style w:type="paragraph" w:customStyle="1" w:styleId="29">
    <w:name w:val="Char Char Char Char"/>
    <w:basedOn w:val="1"/>
    <w:qFormat/>
    <w:uiPriority w:val="0"/>
    <w:rPr>
      <w:rFonts w:eastAsia="宋体"/>
      <w:sz w:val="21"/>
      <w:szCs w:val="24"/>
    </w:rPr>
  </w:style>
  <w:style w:type="paragraph" w:customStyle="1" w:styleId="30">
    <w:name w:val=" Char"/>
    <w:basedOn w:val="1"/>
    <w:qFormat/>
    <w:uiPriority w:val="0"/>
    <w:rPr>
      <w:rFonts w:eastAsia="宋体"/>
      <w:sz w:val="21"/>
      <w:szCs w:val="24"/>
    </w:rPr>
  </w:style>
  <w:style w:type="paragraph" w:customStyle="1" w:styleId="31">
    <w:name w:val="Char Char Char Char Char Char1 Char"/>
    <w:basedOn w:val="1"/>
    <w:qFormat/>
    <w:uiPriority w:val="0"/>
    <w:pPr>
      <w:widowControl/>
      <w:spacing w:after="160" w:afterLines="0" w:line="240" w:lineRule="exact"/>
      <w:jc w:val="left"/>
    </w:pPr>
  </w:style>
  <w:style w:type="paragraph" w:customStyle="1" w:styleId="32">
    <w:name w:val=" Char Char Char Char Char Char1 Char"/>
    <w:basedOn w:val="1"/>
    <w:qFormat/>
    <w:uiPriority w:val="0"/>
    <w:pPr>
      <w:widowControl/>
      <w:spacing w:after="160" w:afterLines="0" w:line="240" w:lineRule="exact"/>
      <w:jc w:val="left"/>
    </w:pPr>
    <w:rPr>
      <w:rFonts w:ascii="Times New Roman" w:hAnsi="Times New Roman" w:eastAsia="宋体"/>
    </w:rPr>
  </w:style>
  <w:style w:type="paragraph" w:customStyle="1" w:styleId="33">
    <w:name w:val="页脚 New New New New New New New New New"/>
    <w:basedOn w:val="1"/>
    <w:qFormat/>
    <w:uiPriority w:val="0"/>
    <w:pPr>
      <w:tabs>
        <w:tab w:val="center" w:pos="4153"/>
        <w:tab w:val="right" w:pos="8306"/>
      </w:tabs>
      <w:snapToGrid w:val="0"/>
      <w:jc w:val="left"/>
    </w:pPr>
    <w:rPr>
      <w:sz w:val="18"/>
      <w:szCs w:val="20"/>
    </w:rPr>
  </w:style>
  <w:style w:type="paragraph" w:customStyle="1" w:styleId="34">
    <w:name w:val="正文文本1234"/>
    <w:basedOn w:val="1"/>
    <w:qFormat/>
    <w:uiPriority w:val="0"/>
    <w:pPr>
      <w:spacing w:line="500" w:lineRule="exact"/>
      <w:ind w:firstLine="200" w:firstLineChars="200"/>
    </w:pPr>
    <w:rPr>
      <w:rFonts w:ascii="仿宋_GB2312" w:hAnsi="仿宋_GB2312" w:eastAsia="仿宋_GB2312" w:cs="仿宋_GB2312"/>
      <w:sz w:val="28"/>
      <w:szCs w:val="28"/>
    </w:rPr>
  </w:style>
  <w:style w:type="paragraph" w:customStyle="1" w:styleId="35">
    <w:name w:val="List Paragraph"/>
    <w:basedOn w:val="1"/>
    <w:qFormat/>
    <w:uiPriority w:val="99"/>
    <w:pPr>
      <w:ind w:firstLine="420" w:firstLineChars="200"/>
    </w:pPr>
  </w:style>
  <w:style w:type="paragraph" w:customStyle="1" w:styleId="36">
    <w:name w:val="样式1"/>
    <w:basedOn w:val="13"/>
    <w:next w:val="1"/>
    <w:qFormat/>
    <w:uiPriority w:val="0"/>
    <w:pPr>
      <w:spacing w:line="580" w:lineRule="exact"/>
      <w:jc w:val="center"/>
    </w:pPr>
    <w:rPr>
      <w:b w:val="0"/>
      <w:bCs w:val="0"/>
      <w:sz w:val="44"/>
      <w:szCs w:val="44"/>
    </w:rPr>
  </w:style>
  <w:style w:type="paragraph" w:customStyle="1" w:styleId="37">
    <w:name w:val="正文 New New New New New New"/>
    <w:next w:val="38"/>
    <w:qFormat/>
    <w:uiPriority w:val="0"/>
    <w:pPr>
      <w:widowControl w:val="0"/>
      <w:jc w:val="both"/>
    </w:pPr>
    <w:rPr>
      <w:rFonts w:ascii="Calibri" w:hAnsi="Calibri" w:eastAsia="宋体" w:cs="黑体"/>
      <w:kern w:val="2"/>
      <w:sz w:val="21"/>
      <w:szCs w:val="24"/>
      <w:lang w:val="en-US" w:eastAsia="zh-CN" w:bidi="ar-SA"/>
    </w:rPr>
  </w:style>
  <w:style w:type="paragraph" w:customStyle="1" w:styleId="38">
    <w:name w:val="标题 1 New New New New New New"/>
    <w:basedOn w:val="37"/>
    <w:next w:val="37"/>
    <w:qFormat/>
    <w:uiPriority w:val="0"/>
    <w:pPr>
      <w:spacing w:line="560" w:lineRule="exact"/>
      <w:jc w:val="center"/>
      <w:outlineLvl w:val="0"/>
    </w:pPr>
    <w:rPr>
      <w:rFonts w:eastAsia="宋体"/>
      <w:b/>
      <w:bCs/>
      <w:sz w:val="44"/>
      <w:szCs w:val="44"/>
    </w:rPr>
  </w:style>
  <w:style w:type="paragraph" w:customStyle="1" w:styleId="39">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40">
    <w:name w:val="Char Char1 Char Char"/>
    <w:basedOn w:val="1"/>
    <w:qFormat/>
    <w:uiPriority w:val="0"/>
  </w:style>
  <w:style w:type="paragraph" w:customStyle="1" w:styleId="4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2">
    <w:name w:val="列出段落1"/>
    <w:basedOn w:val="1"/>
    <w:qFormat/>
    <w:uiPriority w:val="0"/>
    <w:pPr>
      <w:ind w:firstLine="420" w:firstLineChars="200"/>
    </w:pPr>
    <w:rPr>
      <w:rFonts w:ascii="Times New Roman" w:hAnsi="Times New Roman" w:eastAsia="宋体" w:cs="Times New Roman"/>
      <w:szCs w:val="24"/>
    </w:rPr>
  </w:style>
  <w:style w:type="paragraph" w:customStyle="1" w:styleId="43">
    <w:name w:val="正文 New New New New New New New New New New New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44">
    <w:name w:val="样式 样式1 + 加粗"/>
    <w:basedOn w:val="36"/>
    <w:qFormat/>
    <w:uiPriority w:val="0"/>
    <w:rPr>
      <w:b/>
      <w:bCs/>
    </w:rPr>
  </w:style>
  <w:style w:type="paragraph" w:customStyle="1" w:styleId="45">
    <w:name w:val=" Char Char1 Char Char"/>
    <w:basedOn w:val="1"/>
    <w:qFormat/>
    <w:uiPriority w:val="0"/>
    <w:rPr>
      <w:rFonts w:ascii="Times New Roman" w:hAnsi="Times New Roman" w:eastAsia="宋体"/>
    </w:rPr>
  </w:style>
  <w:style w:type="paragraph" w:customStyle="1" w:styleId="46">
    <w:name w:val=" 字元 字元"/>
    <w:basedOn w:val="1"/>
    <w:qFormat/>
    <w:uiPriority w:val="0"/>
    <w:pPr>
      <w:tabs>
        <w:tab w:val="left" w:pos="360"/>
      </w:tabs>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5</Pages>
  <Words>2047</Words>
  <Characters>2080</Characters>
  <Lines>26</Lines>
  <Paragraphs>7</Paragraphs>
  <TotalTime>8</TotalTime>
  <ScaleCrop>false</ScaleCrop>
  <LinksUpToDate>false</LinksUpToDate>
  <CharactersWithSpaces>2080</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2011-01-05T18:06:00Z</dcterms:created>
  <dc:creator>默认</dc:creator>
  <cp:lastModifiedBy>xiaoliangqian</cp:lastModifiedBy>
  <cp:lastPrinted>2018-01-03T08:51:00Z</cp:lastPrinted>
  <dcterms:modified xsi:type="dcterms:W3CDTF">2025-08-05T17:43:56Z</dcterms:modified>
  <dc:title>粤国土资［2002］   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39BAD464E86553A32C99EB667091F0E2_43</vt:lpwstr>
  </property>
</Properties>
</file>