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Cs/>
          <w:color w:val="0000FF"/>
          <w:sz w:val="44"/>
          <w:szCs w:val="44"/>
          <w:lang w:eastAsia="zh-CN"/>
        </w:rPr>
      </w:pPr>
      <w:bookmarkStart w:id="0" w:name="PO_WORD_CONTENT"/>
      <w:bookmarkEnd w:id="0"/>
      <w:bookmarkStart w:id="5" w:name="_GoBack"/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汕尾市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年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省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科技支撑“百千万工程”专项项目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入库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征集申报指南</w:t>
      </w:r>
    </w:p>
    <w:bookmarkEnd w:id="5"/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1" w:name="OLE_LIN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《广东省科学技术厅关于征集2026年科技支撑“百千万工程”专项项目的通知》（〔2025〕405 号）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"/>
        </w:rPr>
        <w:t>工作部署和要求，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为做好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科技支撑“百千万工程”专项项目入库征集工作，结合我市“百千万工程”重点工作计划，我局编制了《汕尾市2026年省科技支撑“百千万工程”专项项目入库征集申报指南》。专项如下：</w:t>
      </w:r>
    </w:p>
    <w:bookmarkEnd w:id="1"/>
    <w:p>
      <w:pPr>
        <w:ind w:firstLine="63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支持产业关键技术攻关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（专题编号:0101）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1.支持方向</w:t>
      </w:r>
    </w:p>
    <w:p>
      <w:pPr>
        <w:spacing w:beforeLines="0" w:afterLines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聚焦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电子信息、新能源汽车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新材料、海工装备制造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现代农业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等主导产业发展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鼓励我市各类创新主体开展产业共性技术研发，突破技术瓶颈，提升我市产业竞争力。支持行业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企业与国内著名高校和科研机构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联合研发，解决企业关键技术难题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，提升技术创新能力。</w:t>
      </w:r>
    </w:p>
    <w:p>
      <w:pPr>
        <w:spacing w:beforeLines="0" w:afterLines="0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4"/>
          <w:lang w:eastAsia="zh-CN"/>
        </w:rPr>
        <w:t>支持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4"/>
        </w:rPr>
        <w:t>对象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申报主体应是在我市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注册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高新技术企业、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事业单位、科研院所、民办非企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业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3.申报要求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（1）申报单位经营情况正常，近三年内无发生重大违法经营行为，无发生重大安全事故，无发生重大违法事件；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项目负责人必须具备副高以上技术职称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项目实施期内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新增申请Ⅰ类知识产权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项或Ⅱ类知识产权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引进（含柔性引进）各类专业技术人才（本科学历以上，或中级职称以上）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名以上；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）项目实施期内，企业申报单位自筹资金用于配套财政项目资金的比例不低于1:1；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同一项目负责人承担在研市级及以上科技项目超过2项（含2项）的，原则上不能申报；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　　4.资助方式、强度与执行周期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采取事前立项无偿资助方式择优支持。入库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0万元/项，项目执行周期为2年。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　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推动科技成果转化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（专题编号:0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0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keepNext w:val="0"/>
        <w:keepLines w:val="0"/>
        <w:widowControl/>
        <w:suppressLineNumbers w:val="0"/>
        <w:ind w:firstLine="630" w:firstLineChars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1.支持方向</w:t>
      </w:r>
    </w:p>
    <w:p>
      <w:pPr>
        <w:keepNext w:val="0"/>
        <w:keepLines w:val="0"/>
        <w:widowControl/>
        <w:suppressLineNumbers w:val="0"/>
        <w:ind w:firstLine="63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围绕汕尾优势特色产业，推动县域经济高质量发展，实施科技成果“入县达镇”行动，</w:t>
      </w:r>
      <w:bookmarkStart w:id="2" w:name="OLE_LINK10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组织科技成果转化与</w:t>
      </w:r>
      <w:bookmarkStart w:id="3" w:name="OLE_LINK12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推广示范项目</w:t>
      </w:r>
      <w:bookmarkEnd w:id="2"/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，助力乡村产业振兴。</w:t>
      </w:r>
    </w:p>
    <w:p>
      <w:pPr>
        <w:ind w:firstLine="63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支持对象</w:t>
      </w:r>
    </w:p>
    <w:p>
      <w:pPr>
        <w:keepNext w:val="0"/>
        <w:keepLines w:val="0"/>
        <w:widowControl/>
        <w:suppressLineNumbers w:val="0"/>
        <w:ind w:firstLine="620" w:firstLineChars="200"/>
        <w:jc w:val="both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申报主体应是在我市注册的企事业单位、科研院所、民办非企单位。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3.申报要求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（1）申报单位经营情况正常，近三年内无发生重大违法经营行为，无发生重大安全事故，无发生重大违法事件；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FFFFFF"/>
        </w:rPr>
        <w:t>项目负责人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必须具备副高以上技术职称；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（3）项目实施期内，须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新增</w:t>
      </w:r>
      <w:bookmarkStart w:id="4" w:name="OLE_LINK11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科技成果转化落地1项以上，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推广示范项目1项以上，并提交应用推广成效报告；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项目实施期内，开展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人才培养、技能培训、创业辅导等科技服务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不少于</w:t>
      </w:r>
      <w:r>
        <w:rPr>
          <w:rStyle w:val="7"/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2场次，帮助农户解决技术难题不少于3个/项，培训农户或技术人员不少于200人次；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）项目实施期内，企业申报单位自筹资金用于配套财政项目资金的比例不低于1:1；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同一项目负责人承担在研市级及以上科技项目超过2项（含2项）的，原则上不能申报；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）严禁同一项目通过变换名称等方式进行多头申报，否则，一经发现，取消申报资格，并按违反科研诚信管理的有关规定处理。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.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资助方式、强度与执行周期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采取事前立项无偿资助方式择优支持。入库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0万元/项，项目执行周期为2年。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支持科技创新平台建设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（专题编号:0301）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1.支持方向</w:t>
      </w:r>
    </w:p>
    <w:p>
      <w:pPr>
        <w:spacing w:beforeLines="0" w:afterLines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支持企业通过产学研合作方式，积极创建自主创新平台，聚集和培养高水平工程技术人才，开展产业共性技术研发、产学研协同推动科技成果转移转化、服务产业高质量发展，全面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提升创新平台建设覆盖率；引导市级创新平台申报省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级科技创新平台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资质认定，提升研究开发能力与扩大成果推广应用范围，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  <w:lang w:eastAsia="zh-CN"/>
        </w:rPr>
        <w:t>实现</w:t>
      </w:r>
      <w:r>
        <w:rPr>
          <w:rFonts w:hint="eastAsia" w:ascii="仿宋_GB2312" w:hAnsi="仿宋_GB2312" w:eastAsia="仿宋_GB2312" w:cs="仿宋_GB2312"/>
          <w:color w:val="000000"/>
          <w:sz w:val="32"/>
          <w:szCs w:val="24"/>
        </w:rPr>
        <w:t>创新平台提质增效。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2.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支持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对象</w:t>
      </w:r>
    </w:p>
    <w:p>
      <w:pPr>
        <w:spacing w:beforeLines="0" w:afterLines="0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申报主体应是在我市注册且主要科研场所设在汕尾内的企业、高校、科研机构、民办非企业等法人单位。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</w:rPr>
        <w:t>　　3.申报要求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（1）申报单位经营情况正常，近三年内无发生重大违法经营行为，无发生重大安全事故，无发生重大违法事件；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 w:firstLine="48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（2）项目负责人必须具备副高以上技术职称；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firstLine="480" w:firstLineChars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（3）项目实施期内，完成与企业联合技术研发3项，申请知识产权5项，建设校企联合培养基地1个；引进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（含柔性引进）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本科或工程师以上人才5名，举办企业人才培训5场；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right="0" w:firstLine="62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（4）同一项目负责人承担在研市级及以上科技项目超过2项（含2项）的，原则上不能申报；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　　（5）严禁同一项目通过变换名称等方式进行多头申报，否则，一经发现，取消申报资格，并按违反科研诚信管理的有关规定处理。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　　</w:t>
      </w:r>
      <w:r>
        <w:rPr>
          <w:rStyle w:val="6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4、资助方式、强度与执行周期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7"/>
          <w:rFonts w:hint="eastAsia" w:ascii="仿宋" w:hAnsi="仿宋" w:eastAsia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531" w:bottom="2098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采取事前立项无偿资助方式择优支持。入库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项目，资助强度为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0万元/项，项目执行周期为2年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10870"/>
    <w:rsid w:val="7601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2025-09-02T03:31:00Z</dcterms:created>
  <dc:creator>Administrator</dc:creator>
  <cp:lastModifiedBy>Administrator</cp:lastModifiedBy>
  <dcterms:modified xsi:type="dcterms:W3CDTF">2025-09-02T03:32:23Z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B66C4B3AA99046B5AA1B28858F484015</vt:lpwstr>
  </property>
</Properties>
</file>