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55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汕尾市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竞技体育奖励办法</w:t>
      </w:r>
    </w:p>
    <w:p w14:paraId="0C445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3509D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第一章 总则</w:t>
      </w:r>
    </w:p>
    <w:p w14:paraId="4C28A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为充分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发挥社会各界力量，</w:t>
      </w:r>
      <w:r>
        <w:rPr>
          <w:rFonts w:hint="eastAsia" w:ascii="仿宋_GB2312" w:hAnsi="仿宋_GB2312" w:eastAsia="仿宋_GB2312" w:cs="仿宋_GB2312"/>
          <w:sz w:val="32"/>
          <w:szCs w:val="32"/>
        </w:rPr>
        <w:t>调动运动员、教练员及相关工作人员的积极性，更好地实施国家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奥</w:t>
      </w:r>
      <w:r>
        <w:rPr>
          <w:rFonts w:hint="eastAsia" w:ascii="仿宋_GB2312" w:hAnsi="仿宋_GB2312" w:eastAsia="仿宋_GB2312" w:cs="仿宋_GB2312"/>
          <w:sz w:val="32"/>
          <w:szCs w:val="32"/>
        </w:rPr>
        <w:t>运争光计划，为国家、省选拔、培养和输送高水平体育后备人才，增强我市竞技体育综合实力和发展后劲，根据《中华人民共和国体育法》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《广东省有关人员参加奥运会奖金奖励办法》《广东省有关人员参加亚运会奖金奖励办法》《广东省有关人员参加全运会奖金奖励办法》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等有关规定，结合我市竞技体育实际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制定本办法。</w:t>
      </w:r>
    </w:p>
    <w:p w14:paraId="37ED3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第二条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本奖励办法适用于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769A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培养输送</w:t>
      </w:r>
      <w:r>
        <w:rPr>
          <w:rFonts w:hint="eastAsia" w:ascii="仿宋_GB2312" w:hAnsi="仿宋_GB2312" w:eastAsia="仿宋_GB2312" w:cs="仿宋_GB2312"/>
          <w:sz w:val="32"/>
          <w:szCs w:val="32"/>
        </w:rPr>
        <w:t>我市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注册运动员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国家队、省队、省体校、省体育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示范基地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属我市注册的双计分项目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等优秀专业队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及职业体育俱乐部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的教练员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2316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竞技体育赛事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中取得优异成绩的</w:t>
      </w:r>
      <w:r>
        <w:rPr>
          <w:rFonts w:hint="eastAsia" w:ascii="仿宋_GB2312" w:hAnsi="仿宋_GB2312" w:eastAsia="仿宋_GB2312" w:cs="仿宋_GB2312"/>
          <w:sz w:val="32"/>
          <w:szCs w:val="32"/>
        </w:rPr>
        <w:t>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注册并在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体育运动学校、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各级业余体校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其他训练单位（学校、协会、俱乐部、基地等）</w:t>
      </w:r>
      <w:r>
        <w:rPr>
          <w:rFonts w:hint="eastAsia" w:ascii="仿宋_GB2312" w:hAnsi="仿宋_GB2312" w:eastAsia="仿宋_GB2312" w:cs="仿宋_GB2312"/>
          <w:sz w:val="32"/>
          <w:szCs w:val="32"/>
        </w:rPr>
        <w:t>训练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的运动员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及我市各注册项目的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教练员和有</w:t>
      </w:r>
      <w:r>
        <w:rPr>
          <w:rFonts w:hint="eastAsia" w:ascii="仿宋_GB2312" w:hAnsi="仿宋_GB2312" w:eastAsia="仿宋_GB2312" w:cs="仿宋_GB2312"/>
          <w:sz w:val="32"/>
          <w:szCs w:val="32"/>
        </w:rPr>
        <w:t>关有功人员(含领队、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务人员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、科研人员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D019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第三条：赛事范围</w:t>
      </w:r>
    </w:p>
    <w:p w14:paraId="26DEA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国际级重大赛事：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夏、冬季</w:t>
      </w:r>
      <w:r>
        <w:rPr>
          <w:rFonts w:hint="eastAsia" w:ascii="仿宋_GB2312" w:hAnsi="仿宋_GB2312" w:eastAsia="仿宋_GB2312" w:cs="仿宋_GB2312"/>
          <w:sz w:val="32"/>
          <w:szCs w:val="32"/>
        </w:rPr>
        <w:t>奥林匹克运动会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简称奥运会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世界青年奥林匹克运动会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简称青奥会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、世界锦标赛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简称世锦赛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世界杯（总决赛）、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亚洲运动会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简称亚运会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、亚洲锦标赛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简称亚锦赛)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、亚洲杯（总决赛）。</w:t>
      </w:r>
    </w:p>
    <w:p w14:paraId="0C65C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国家级重大赛事：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简称全运会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）、全国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锦标赛、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全国青年（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）运动会；</w:t>
      </w:r>
    </w:p>
    <w:p w14:paraId="67D49B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省级重大赛事：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广东省运动会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简称省运会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）、广东青少年锦标赛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3956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国内重大赛事：全国青（少）年锦标赛、冠军赛（U系列），全省青（少）年冠军赛（U系列）。</w:t>
      </w:r>
    </w:p>
    <w:p w14:paraId="721984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（五）以上赛事指决赛阶段或总决赛，分站赛不列入。</w:t>
      </w:r>
    </w:p>
    <w:p w14:paraId="3226F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对运动员、教练员和有关有功人员的奖励，应根据比赛成绩并结合政治思想、道德作风、遵纪守法等方面的情况综合评定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62FC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文化广电旅游体育局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取得优异成绩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运动员、教练员和有关有功人员的具体奖励实施工作。</w:t>
      </w:r>
    </w:p>
    <w:p w14:paraId="7BAFB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第二章 竞赛成绩奖励办法和标准</w:t>
      </w:r>
    </w:p>
    <w:p w14:paraId="1C986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运动员奖励</w:t>
      </w:r>
    </w:p>
    <w:p w14:paraId="21E52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运动员奖励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设置及</w:t>
      </w:r>
      <w:r>
        <w:rPr>
          <w:rFonts w:hint="eastAsia" w:ascii="仿宋_GB2312" w:hAnsi="仿宋_GB2312" w:eastAsia="仿宋_GB2312" w:cs="仿宋_GB2312"/>
          <w:sz w:val="32"/>
          <w:szCs w:val="32"/>
        </w:rPr>
        <w:t>奖金标准见附表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E910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运动员在一年时间内取得二次以上获奖名次，按所得名次累积计算奖励；</w:t>
      </w:r>
    </w:p>
    <w:p w14:paraId="6B495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非三大球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和团体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接力组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项目的运动员，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2-4人的项目每人</w:t>
      </w:r>
      <w:r>
        <w:rPr>
          <w:rFonts w:hint="eastAsia" w:ascii="仿宋_GB2312" w:hAnsi="仿宋_GB2312" w:eastAsia="仿宋_GB2312" w:cs="仿宋_GB2312"/>
          <w:sz w:val="32"/>
          <w:szCs w:val="32"/>
        </w:rPr>
        <w:t>按所得名次奖金标准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5人以上的项目每人</w:t>
      </w:r>
      <w:r>
        <w:rPr>
          <w:rFonts w:hint="eastAsia" w:ascii="仿宋_GB2312" w:hAnsi="仿宋_GB2312" w:eastAsia="仿宋_GB2312" w:cs="仿宋_GB2312"/>
          <w:sz w:val="32"/>
          <w:szCs w:val="32"/>
        </w:rPr>
        <w:t>按所得名次奖金标准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94E9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（四）篮球、足球、排球（不含足球D、E组和沙滩排球）等三大球类集体项目的，按名次奖金标准的5倍给于奖励，再由训练单位根据主力、非主力运动员，将5倍奖金合理分配给每名运动员，高低之比不超过2.5:1。</w:t>
      </w:r>
    </w:p>
    <w:p w14:paraId="04CD9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水球、曲棍球、三人篮球、棒球、冰球等球类集体项目，按名次奖金标准的3倍给于奖励，再由训练单位根据主力、非主力运动员，将3倍奖金合理分配给每名运动员，高低之比不超过2:1。</w:t>
      </w:r>
    </w:p>
    <w:p w14:paraId="59F03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（六）手球、垒球、足球（D组、E组）按名次奖金标准的2倍给于奖励，再由训练单位根据主力、非主力运动员，将2倍奖金合理分配给每名运动员，高低之比不超过1.5:1。</w:t>
      </w:r>
    </w:p>
    <w:p w14:paraId="37F8A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在省运会比赛中获得第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9-12</w:t>
      </w:r>
      <w:r>
        <w:rPr>
          <w:rFonts w:hint="eastAsia" w:ascii="仿宋_GB2312" w:hAnsi="仿宋_GB2312" w:eastAsia="仿宋_GB2312" w:cs="仿宋_GB2312"/>
          <w:sz w:val="32"/>
          <w:szCs w:val="32"/>
        </w:rPr>
        <w:t>名的集体项目的运动员按第八名给予奖励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19353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）交流、协议代表我市参赛的运动员按协议约定进行奖励。</w:t>
      </w:r>
    </w:p>
    <w:p w14:paraId="7B71E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）按照省运会竞赛规程总则规定，为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汕尾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市代表团增加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金牌或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分数的广东省优秀运动队的正式运动员，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计入金牌的则按奖金标准奖励，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计入省运会的分数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则按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每分400元给予一次性奖励。（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以省体育局的文件为依据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 w14:paraId="6559C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）运动员每超一项世界、亚洲、全国、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纪录的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奖励在其对应赛事所获名次奖励金标准的20%增发奖金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，以国家体育总局和省体育局公布结果为准。比赛规程有超、破记录奖励条款的按规程条款另行计算奖励成绩。</w:t>
      </w:r>
    </w:p>
    <w:p w14:paraId="6FF6F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第七条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教练员奖励</w:t>
      </w:r>
    </w:p>
    <w:p w14:paraId="3C1C5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）运动员参加参加本办法第三条中（一）（二）所列重大比赛获得名次，其输送（市级带训）教练员按照获奖运动员奖金的50%奖励，人次</w:t>
      </w:r>
      <w:r>
        <w:rPr>
          <w:rFonts w:hint="eastAsia" w:ascii="仿宋_GB2312" w:hAnsi="仿宋_GB2312" w:eastAsia="仿宋_GB2312" w:cs="仿宋_GB2312"/>
          <w:sz w:val="32"/>
          <w:szCs w:val="32"/>
        </w:rPr>
        <w:t>累积计算奖励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2753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）运动员参加本办法第三条中（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）重大比赛获得名次，教练员奖金与运动员奖金相同。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篮球、足球、排球、水球、曲棍球、三人篮球、棒球、冰球等球类集体项目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的教练员按照所得名次奖金标准的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倍给予奖励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其余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集体、团体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项目的教练员按照所得名次奖金标准的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倍给予奖励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E2DC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一个项目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多名教练员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按照运动员获奖名次只给予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教练员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，奖励金由教练员自行协商分配。</w:t>
      </w:r>
    </w:p>
    <w:p w14:paraId="3AD2B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本办法第三条中（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）重大比赛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奖励金按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本办法第三条中（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中广东省锦标赛奖励金执行；</w:t>
      </w:r>
    </w:p>
    <w:p w14:paraId="18DD7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第九条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经获奖单位申报、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文化广电旅游体育局审核为</w:t>
      </w:r>
      <w:r>
        <w:rPr>
          <w:rFonts w:hint="eastAsia" w:ascii="仿宋_GB2312" w:hAnsi="仿宋_GB2312" w:eastAsia="仿宋_GB2312" w:cs="仿宋_GB2312"/>
          <w:sz w:val="32"/>
          <w:szCs w:val="32"/>
        </w:rPr>
        <w:t>直接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运动员取得优异成绩有关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功人员，按照运动员所得名次奖金总额的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%给予奖励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公务员(参照公务员法管理人员)不在奖励之列。</w:t>
      </w:r>
    </w:p>
    <w:p w14:paraId="342B5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第三章 人才输送奖励办法和标准</w:t>
      </w:r>
    </w:p>
    <w:p w14:paraId="78897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仿宋_GB2312" w:cs="黑体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输送我市注册运动员到省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级优秀运动队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并转正（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以省级行政部门的通知为依据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每输送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1名运动员，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输送</w:t>
      </w:r>
      <w:r>
        <w:rPr>
          <w:rFonts w:hint="eastAsia" w:ascii="仿宋_GB2312" w:hAnsi="仿宋_GB2312" w:eastAsia="仿宋_GB2312" w:cs="仿宋_GB2312"/>
          <w:sz w:val="32"/>
          <w:szCs w:val="32"/>
        </w:rPr>
        <w:t>教练员1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元；</w:t>
      </w:r>
    </w:p>
    <w:p w14:paraId="43CCA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第十一条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输送我市注册运动员到广东省专业队（基地）、省体校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转正（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以输送通知或运动员名册为依据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代表我市参加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本办法第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条所列重大比赛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并获得名次,输送教练原训练时间达一年以上的，奖励输送教练3千元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BD68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我市输送的运动员参加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本办法第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）所列重大比赛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获得名次，其输送教练员人才输送奖按照获奖运动员奖金的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50%奖励，最高奖励金额不超过5万元。</w:t>
      </w:r>
    </w:p>
    <w:p w14:paraId="5FA8A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第四章  奖励申报及审核</w:t>
      </w:r>
    </w:p>
    <w:p w14:paraId="7D3AC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奖励申报受理时间为每年第三季度，由获奖单位整理统一汇总后向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市文化广电旅游体育局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进行申报，逾期未申请视为自动放弃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第四季度赛事获奖奖励计入第二年度。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文化广电旅游体育局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根据所获得成绩进行审核并公示，报市政府审批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同意后，由市文化广电旅游体育局纳入第二年部门专项资金预算，经市人大审议通过后，由市文化广电旅游体育局按规定发放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548D3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运动员所取得的成绩必须是国家体育总局、广东省体育局批准的、列入每年年度各项目比赛计划内的赛事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文化广电旅游体育局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根据国家体育总局和广东省体育局网上公示的年度赛程安排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予以确认。</w:t>
      </w:r>
    </w:p>
    <w:p w14:paraId="5CB0A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运动员所获成绩，以获奖证书、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秩序册、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EECB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省运会群众组纳入团体总分计算范围的比赛项目，参赛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运动员、教练员和有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功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人员的奖励，参照本办法执行。</w:t>
      </w:r>
    </w:p>
    <w:p w14:paraId="1A4C6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残疾人运动员、教练员和有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功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人员的奖励，参照本办法执行。</w:t>
      </w:r>
    </w:p>
    <w:p w14:paraId="4E74A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9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奖励标准和金额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视省体育局奖金基数和市经济发展水平定期修订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85B23F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0" w:lineRule="atLeast"/>
        <w:ind w:left="0" w:right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Style w:val="9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第五章  奖励监督</w:t>
      </w:r>
    </w:p>
    <w:p w14:paraId="46D1B72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0" w:lineRule="atLeast"/>
        <w:ind w:left="0"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第十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条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 运动员、教练员的奖励应根据比赛成绩并结合政治思想、道德作风、法纪观念等方面情况全面评定。运动员、教练员因思想品德、违纪违法受到处分，或因失职造成误赛、停赛或影响运动员争创优异成绩的，依据相关规定处理，并减少或取消奖励。</w:t>
      </w:r>
    </w:p>
    <w:p w14:paraId="57480A1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第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二十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  申报单位和个人须对所提交相关材料的真实性负责，不得弄虚作假。提交虚假材料的，一经核实，依法追究相关单位和个人的责任，并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全额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追回已发放奖励。</w:t>
      </w:r>
    </w:p>
    <w:p w14:paraId="03B815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0" w:lineRule="atLeas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第二十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  凡因兴奋剂问题或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违反赛风赛纪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而被竞赛组委会取消成绩的，一经核实，依法追究相关单位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的责任同时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取消运动员初始注册资格，并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全额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追回已发放奖励。</w:t>
      </w:r>
    </w:p>
    <w:p w14:paraId="12E6FAF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0" w:lineRule="atLeas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第二十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  奖金专款专用，使用时必须遵守国家财政、财务规章制度和各项财经纪律，对于截留、挤占、挪用、骗取奖金及违反本办法的，按有关规定严肃处理。</w:t>
      </w:r>
    </w:p>
    <w:p w14:paraId="4583FF1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0" w:lineRule="atLeas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第二十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奖金标准都是税前，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获得奖励资金的个人应当依法缴纳税款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并由训练单位执行代扣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 w14:paraId="144C236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0" w:lineRule="atLeast"/>
        <w:ind w:left="0" w:right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　　</w:t>
      </w: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</w:rPr>
        <w:t>第六章  附  则</w:t>
      </w:r>
    </w:p>
    <w:p w14:paraId="3E7795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0" w:lineRule="atLeas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第二十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条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 本办法由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文化广电旅游体育局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负责解释。</w:t>
      </w:r>
    </w:p>
    <w:p w14:paraId="008DDD9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0" w:lineRule="atLeas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第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  本办法自202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日起施行，有效期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至2030年12月31日止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。原《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汕尾市竞技体育奖励办法（试行）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》（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汕文广旅体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295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号）同时废止。</w:t>
      </w:r>
    </w:p>
    <w:p w14:paraId="38A2B15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0" w:lineRule="atLeas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　　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运动员奖励设置及奖励金标准</w:t>
      </w:r>
    </w:p>
    <w:p w14:paraId="0D638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4554C5D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BE08094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541BAFD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43E05EC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6F4F430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F65DBCC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64FF83F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31F3EF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运动员奖励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设置及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奖励金标准</w:t>
      </w:r>
    </w:p>
    <w:p w14:paraId="18A96EBA">
      <w:pPr>
        <w:tabs>
          <w:tab w:val="left" w:pos="1191"/>
        </w:tabs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单位：万元</w:t>
      </w:r>
    </w:p>
    <w:tbl>
      <w:tblPr>
        <w:tblStyle w:val="7"/>
        <w:tblW w:w="9610" w:type="dxa"/>
        <w:tblInd w:w="-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110"/>
        <w:gridCol w:w="794"/>
        <w:gridCol w:w="794"/>
        <w:gridCol w:w="794"/>
        <w:gridCol w:w="794"/>
        <w:gridCol w:w="794"/>
        <w:gridCol w:w="794"/>
        <w:gridCol w:w="794"/>
        <w:gridCol w:w="794"/>
        <w:gridCol w:w="930"/>
      </w:tblGrid>
      <w:tr w14:paraId="2095D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8" w:type="dxa"/>
            <w:vAlign w:val="center"/>
          </w:tcPr>
          <w:p w14:paraId="00D8D60C">
            <w:pPr>
              <w:tabs>
                <w:tab w:val="left" w:pos="1191"/>
              </w:tabs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运动会</w:t>
            </w:r>
          </w:p>
        </w:tc>
        <w:tc>
          <w:tcPr>
            <w:tcW w:w="1110" w:type="dxa"/>
            <w:vAlign w:val="center"/>
          </w:tcPr>
          <w:p w14:paraId="7ABE0749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奖励人员</w:t>
            </w:r>
          </w:p>
        </w:tc>
        <w:tc>
          <w:tcPr>
            <w:tcW w:w="794" w:type="dxa"/>
            <w:vAlign w:val="center"/>
          </w:tcPr>
          <w:p w14:paraId="27214BC0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</w:p>
          <w:p w14:paraId="7BDF7691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</w:t>
            </w:r>
          </w:p>
          <w:p w14:paraId="180297E5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794" w:type="dxa"/>
            <w:vAlign w:val="center"/>
          </w:tcPr>
          <w:p w14:paraId="0BC84CDC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</w:p>
          <w:p w14:paraId="058B8B69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</w:t>
            </w:r>
          </w:p>
          <w:p w14:paraId="14B70440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794" w:type="dxa"/>
            <w:vAlign w:val="center"/>
          </w:tcPr>
          <w:p w14:paraId="40E7C252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</w:p>
          <w:p w14:paraId="18A7B452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</w:t>
            </w:r>
          </w:p>
          <w:p w14:paraId="27292484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794" w:type="dxa"/>
            <w:vAlign w:val="center"/>
          </w:tcPr>
          <w:p w14:paraId="347198CE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</w:p>
          <w:p w14:paraId="329ACF50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</w:t>
            </w:r>
          </w:p>
          <w:p w14:paraId="18A1324B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794" w:type="dxa"/>
            <w:vAlign w:val="center"/>
          </w:tcPr>
          <w:p w14:paraId="1C6B2AB0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</w:p>
          <w:p w14:paraId="0842CAF7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</w:t>
            </w:r>
          </w:p>
          <w:p w14:paraId="7F726121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794" w:type="dxa"/>
            <w:vAlign w:val="center"/>
          </w:tcPr>
          <w:p w14:paraId="67933420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</w:p>
          <w:p w14:paraId="64EB6CF4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六</w:t>
            </w:r>
          </w:p>
          <w:p w14:paraId="2800B015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794" w:type="dxa"/>
            <w:vAlign w:val="center"/>
          </w:tcPr>
          <w:p w14:paraId="453B7F08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</w:p>
          <w:p w14:paraId="6E5A43C1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七</w:t>
            </w:r>
          </w:p>
          <w:p w14:paraId="46D4E95C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794" w:type="dxa"/>
            <w:vAlign w:val="center"/>
          </w:tcPr>
          <w:p w14:paraId="3492429B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</w:p>
          <w:p w14:paraId="211730B4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八</w:t>
            </w:r>
          </w:p>
          <w:p w14:paraId="1B4BA63F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930" w:type="dxa"/>
            <w:vAlign w:val="center"/>
          </w:tcPr>
          <w:p w14:paraId="110B457D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9C0D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218" w:type="dxa"/>
            <w:vMerge w:val="restart"/>
            <w:vAlign w:val="center"/>
          </w:tcPr>
          <w:p w14:paraId="46B0995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奥运会</w:t>
            </w:r>
          </w:p>
        </w:tc>
        <w:tc>
          <w:tcPr>
            <w:tcW w:w="1110" w:type="dxa"/>
            <w:vAlign w:val="center"/>
          </w:tcPr>
          <w:p w14:paraId="00BE716B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运动员</w:t>
            </w:r>
          </w:p>
        </w:tc>
        <w:tc>
          <w:tcPr>
            <w:tcW w:w="794" w:type="dxa"/>
            <w:vAlign w:val="center"/>
          </w:tcPr>
          <w:p w14:paraId="045C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94" w:type="dxa"/>
            <w:vAlign w:val="center"/>
          </w:tcPr>
          <w:p w14:paraId="1371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94" w:type="dxa"/>
            <w:vAlign w:val="center"/>
          </w:tcPr>
          <w:p w14:paraId="6601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vAlign w:val="center"/>
          </w:tcPr>
          <w:p w14:paraId="1D41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94" w:type="dxa"/>
            <w:vAlign w:val="center"/>
          </w:tcPr>
          <w:p w14:paraId="0E31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94" w:type="dxa"/>
            <w:vAlign w:val="center"/>
          </w:tcPr>
          <w:p w14:paraId="6535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94" w:type="dxa"/>
            <w:vAlign w:val="center"/>
          </w:tcPr>
          <w:p w14:paraId="3ACB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94" w:type="dxa"/>
            <w:vAlign w:val="center"/>
          </w:tcPr>
          <w:p w14:paraId="0C03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vMerge w:val="restart"/>
            <w:vAlign w:val="center"/>
          </w:tcPr>
          <w:p w14:paraId="3E42A6DE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四年一届</w:t>
            </w:r>
          </w:p>
          <w:p w14:paraId="54A9C105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C3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218" w:type="dxa"/>
            <w:vMerge w:val="continue"/>
            <w:vAlign w:val="center"/>
          </w:tcPr>
          <w:p w14:paraId="192D3F1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6263AB59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教练员</w:t>
            </w:r>
          </w:p>
        </w:tc>
        <w:tc>
          <w:tcPr>
            <w:tcW w:w="794" w:type="dxa"/>
            <w:vAlign w:val="center"/>
          </w:tcPr>
          <w:p w14:paraId="5617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94" w:type="dxa"/>
            <w:vAlign w:val="center"/>
          </w:tcPr>
          <w:p w14:paraId="14AA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94" w:type="dxa"/>
            <w:vAlign w:val="center"/>
          </w:tcPr>
          <w:p w14:paraId="7609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vAlign w:val="center"/>
          </w:tcPr>
          <w:p w14:paraId="099E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94" w:type="dxa"/>
            <w:vAlign w:val="center"/>
          </w:tcPr>
          <w:p w14:paraId="50C4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794" w:type="dxa"/>
            <w:vAlign w:val="center"/>
          </w:tcPr>
          <w:p w14:paraId="64C2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94" w:type="dxa"/>
            <w:vAlign w:val="center"/>
          </w:tcPr>
          <w:p w14:paraId="1C19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1.5</w:t>
            </w:r>
          </w:p>
        </w:tc>
        <w:tc>
          <w:tcPr>
            <w:tcW w:w="794" w:type="dxa"/>
            <w:vAlign w:val="center"/>
          </w:tcPr>
          <w:p w14:paraId="1FED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vMerge w:val="continue"/>
            <w:vAlign w:val="center"/>
          </w:tcPr>
          <w:p w14:paraId="106943E8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28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218" w:type="dxa"/>
            <w:vMerge w:val="restart"/>
            <w:vAlign w:val="center"/>
          </w:tcPr>
          <w:p w14:paraId="5F19A7C5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青奥会</w:t>
            </w:r>
          </w:p>
        </w:tc>
        <w:tc>
          <w:tcPr>
            <w:tcW w:w="1110" w:type="dxa"/>
            <w:vAlign w:val="center"/>
          </w:tcPr>
          <w:p w14:paraId="053EF269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运动员</w:t>
            </w:r>
          </w:p>
        </w:tc>
        <w:tc>
          <w:tcPr>
            <w:tcW w:w="794" w:type="dxa"/>
            <w:vAlign w:val="center"/>
          </w:tcPr>
          <w:p w14:paraId="4E3C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vAlign w:val="center"/>
          </w:tcPr>
          <w:p w14:paraId="7A44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dxa"/>
            <w:vAlign w:val="center"/>
          </w:tcPr>
          <w:p w14:paraId="2C5F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vAlign w:val="center"/>
          </w:tcPr>
          <w:p w14:paraId="4223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vAlign w:val="center"/>
          </w:tcPr>
          <w:p w14:paraId="70B8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vAlign w:val="center"/>
          </w:tcPr>
          <w:p w14:paraId="68F8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794" w:type="dxa"/>
            <w:vAlign w:val="center"/>
          </w:tcPr>
          <w:p w14:paraId="300C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 w14:paraId="225E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930" w:type="dxa"/>
            <w:vMerge w:val="continue"/>
            <w:vAlign w:val="center"/>
          </w:tcPr>
          <w:p w14:paraId="3CD5745A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61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218" w:type="dxa"/>
            <w:vMerge w:val="continue"/>
            <w:vAlign w:val="center"/>
          </w:tcPr>
          <w:p w14:paraId="0AA8D41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1A7FFC31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教练员</w:t>
            </w:r>
          </w:p>
        </w:tc>
        <w:tc>
          <w:tcPr>
            <w:tcW w:w="794" w:type="dxa"/>
            <w:vAlign w:val="center"/>
          </w:tcPr>
          <w:p w14:paraId="7999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vAlign w:val="center"/>
          </w:tcPr>
          <w:p w14:paraId="7EE9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vAlign w:val="center"/>
          </w:tcPr>
          <w:p w14:paraId="7446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794" w:type="dxa"/>
            <w:vAlign w:val="center"/>
          </w:tcPr>
          <w:p w14:paraId="47F7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794" w:type="dxa"/>
            <w:vAlign w:val="center"/>
          </w:tcPr>
          <w:p w14:paraId="4ABD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 w14:paraId="55F7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  <w:tc>
          <w:tcPr>
            <w:tcW w:w="794" w:type="dxa"/>
            <w:vAlign w:val="center"/>
          </w:tcPr>
          <w:p w14:paraId="3D53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94" w:type="dxa"/>
            <w:vAlign w:val="center"/>
          </w:tcPr>
          <w:p w14:paraId="1682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930" w:type="dxa"/>
            <w:vMerge w:val="continue"/>
            <w:vAlign w:val="center"/>
          </w:tcPr>
          <w:p w14:paraId="5533A3FD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AE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218" w:type="dxa"/>
            <w:vMerge w:val="restart"/>
            <w:vAlign w:val="center"/>
          </w:tcPr>
          <w:p w14:paraId="319E43D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亚运会</w:t>
            </w:r>
          </w:p>
        </w:tc>
        <w:tc>
          <w:tcPr>
            <w:tcW w:w="1110" w:type="dxa"/>
            <w:vAlign w:val="center"/>
          </w:tcPr>
          <w:p w14:paraId="67C24B14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运动员</w:t>
            </w:r>
          </w:p>
        </w:tc>
        <w:tc>
          <w:tcPr>
            <w:tcW w:w="794" w:type="dxa"/>
            <w:vAlign w:val="center"/>
          </w:tcPr>
          <w:p w14:paraId="0BF9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vAlign w:val="center"/>
          </w:tcPr>
          <w:p w14:paraId="185F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dxa"/>
            <w:vAlign w:val="center"/>
          </w:tcPr>
          <w:p w14:paraId="2E1D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vAlign w:val="center"/>
          </w:tcPr>
          <w:p w14:paraId="411A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vAlign w:val="center"/>
          </w:tcPr>
          <w:p w14:paraId="33EB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vAlign w:val="center"/>
          </w:tcPr>
          <w:p w14:paraId="6B30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794" w:type="dxa"/>
            <w:vAlign w:val="center"/>
          </w:tcPr>
          <w:p w14:paraId="7BA7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 w14:paraId="4ABF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930" w:type="dxa"/>
            <w:vMerge w:val="continue"/>
            <w:vAlign w:val="center"/>
          </w:tcPr>
          <w:p w14:paraId="362F3B18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A8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218" w:type="dxa"/>
            <w:vMerge w:val="continue"/>
            <w:vAlign w:val="center"/>
          </w:tcPr>
          <w:p w14:paraId="606DFB7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1EC8A699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教练员</w:t>
            </w:r>
          </w:p>
        </w:tc>
        <w:tc>
          <w:tcPr>
            <w:tcW w:w="794" w:type="dxa"/>
            <w:vAlign w:val="center"/>
          </w:tcPr>
          <w:p w14:paraId="0D4E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vAlign w:val="center"/>
          </w:tcPr>
          <w:p w14:paraId="341C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vAlign w:val="center"/>
          </w:tcPr>
          <w:p w14:paraId="209A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794" w:type="dxa"/>
            <w:vAlign w:val="center"/>
          </w:tcPr>
          <w:p w14:paraId="1238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794" w:type="dxa"/>
            <w:vAlign w:val="center"/>
          </w:tcPr>
          <w:p w14:paraId="2BB1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 w14:paraId="4863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  <w:tc>
          <w:tcPr>
            <w:tcW w:w="794" w:type="dxa"/>
            <w:vAlign w:val="center"/>
          </w:tcPr>
          <w:p w14:paraId="1698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94" w:type="dxa"/>
            <w:vAlign w:val="center"/>
          </w:tcPr>
          <w:p w14:paraId="66AD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930" w:type="dxa"/>
            <w:vMerge w:val="continue"/>
            <w:vAlign w:val="center"/>
          </w:tcPr>
          <w:p w14:paraId="101966CB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D0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218" w:type="dxa"/>
            <w:vMerge w:val="restart"/>
            <w:vAlign w:val="center"/>
          </w:tcPr>
          <w:p w14:paraId="1FCEBF7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全运会</w:t>
            </w:r>
          </w:p>
        </w:tc>
        <w:tc>
          <w:tcPr>
            <w:tcW w:w="1110" w:type="dxa"/>
            <w:vAlign w:val="center"/>
          </w:tcPr>
          <w:p w14:paraId="17EE3DFB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运动员</w:t>
            </w:r>
          </w:p>
        </w:tc>
        <w:tc>
          <w:tcPr>
            <w:tcW w:w="794" w:type="dxa"/>
            <w:vAlign w:val="center"/>
          </w:tcPr>
          <w:p w14:paraId="5A2A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dxa"/>
            <w:vAlign w:val="center"/>
          </w:tcPr>
          <w:p w14:paraId="2871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vAlign w:val="center"/>
          </w:tcPr>
          <w:p w14:paraId="070E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vAlign w:val="center"/>
          </w:tcPr>
          <w:p w14:paraId="20E9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vAlign w:val="center"/>
          </w:tcPr>
          <w:p w14:paraId="5218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 w14:paraId="2582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794" w:type="dxa"/>
            <w:vAlign w:val="center"/>
          </w:tcPr>
          <w:p w14:paraId="769F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794" w:type="dxa"/>
            <w:vAlign w:val="center"/>
          </w:tcPr>
          <w:p w14:paraId="2038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930" w:type="dxa"/>
            <w:vMerge w:val="continue"/>
            <w:vAlign w:val="center"/>
          </w:tcPr>
          <w:p w14:paraId="7069ECBF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8D6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218" w:type="dxa"/>
            <w:vMerge w:val="continue"/>
            <w:vAlign w:val="center"/>
          </w:tcPr>
          <w:p w14:paraId="73C2C9C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5E361081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教练员</w:t>
            </w:r>
          </w:p>
        </w:tc>
        <w:tc>
          <w:tcPr>
            <w:tcW w:w="794" w:type="dxa"/>
            <w:vAlign w:val="center"/>
          </w:tcPr>
          <w:p w14:paraId="709F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vAlign w:val="center"/>
          </w:tcPr>
          <w:p w14:paraId="3971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vAlign w:val="center"/>
          </w:tcPr>
          <w:p w14:paraId="3F15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vAlign w:val="center"/>
          </w:tcPr>
          <w:p w14:paraId="27DE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 w14:paraId="638E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94" w:type="dxa"/>
            <w:vAlign w:val="center"/>
          </w:tcPr>
          <w:p w14:paraId="45B8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dxa"/>
            <w:vAlign w:val="center"/>
          </w:tcPr>
          <w:p w14:paraId="7A71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794" w:type="dxa"/>
            <w:vAlign w:val="center"/>
          </w:tcPr>
          <w:p w14:paraId="7BB8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930" w:type="dxa"/>
            <w:vMerge w:val="continue"/>
            <w:vAlign w:val="center"/>
          </w:tcPr>
          <w:p w14:paraId="560D59EF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D4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218" w:type="dxa"/>
            <w:vMerge w:val="restart"/>
            <w:vAlign w:val="center"/>
          </w:tcPr>
          <w:p w14:paraId="02A80DC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省运会</w:t>
            </w:r>
          </w:p>
        </w:tc>
        <w:tc>
          <w:tcPr>
            <w:tcW w:w="1110" w:type="dxa"/>
            <w:vAlign w:val="center"/>
          </w:tcPr>
          <w:p w14:paraId="3A9E6B4B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运动员</w:t>
            </w:r>
          </w:p>
        </w:tc>
        <w:tc>
          <w:tcPr>
            <w:tcW w:w="794" w:type="dxa"/>
            <w:vAlign w:val="center"/>
          </w:tcPr>
          <w:p w14:paraId="2F30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94" w:type="dxa"/>
            <w:vAlign w:val="center"/>
          </w:tcPr>
          <w:p w14:paraId="4F0F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1.5</w:t>
            </w:r>
          </w:p>
        </w:tc>
        <w:tc>
          <w:tcPr>
            <w:tcW w:w="794" w:type="dxa"/>
            <w:vAlign w:val="center"/>
          </w:tcPr>
          <w:p w14:paraId="21B9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 w14:paraId="043C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0.6</w:t>
            </w:r>
          </w:p>
        </w:tc>
        <w:tc>
          <w:tcPr>
            <w:tcW w:w="794" w:type="dxa"/>
            <w:vAlign w:val="center"/>
          </w:tcPr>
          <w:p w14:paraId="0F88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94" w:type="dxa"/>
            <w:vAlign w:val="center"/>
          </w:tcPr>
          <w:p w14:paraId="54AB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dxa"/>
            <w:vAlign w:val="center"/>
          </w:tcPr>
          <w:p w14:paraId="452A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794" w:type="dxa"/>
            <w:vAlign w:val="center"/>
          </w:tcPr>
          <w:p w14:paraId="58D5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930" w:type="dxa"/>
            <w:vMerge w:val="continue"/>
            <w:vAlign w:val="center"/>
          </w:tcPr>
          <w:p w14:paraId="2CF62AD7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23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18" w:type="dxa"/>
            <w:vMerge w:val="continue"/>
            <w:vAlign w:val="center"/>
          </w:tcPr>
          <w:p w14:paraId="2534EEF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0C3C6C38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教练员</w:t>
            </w:r>
          </w:p>
        </w:tc>
        <w:tc>
          <w:tcPr>
            <w:tcW w:w="794" w:type="dxa"/>
            <w:vAlign w:val="center"/>
          </w:tcPr>
          <w:p w14:paraId="2D51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94" w:type="dxa"/>
            <w:vAlign w:val="center"/>
          </w:tcPr>
          <w:p w14:paraId="2A59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1.5</w:t>
            </w:r>
          </w:p>
        </w:tc>
        <w:tc>
          <w:tcPr>
            <w:tcW w:w="794" w:type="dxa"/>
            <w:vAlign w:val="center"/>
          </w:tcPr>
          <w:p w14:paraId="3996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 w14:paraId="6C78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0.6</w:t>
            </w:r>
          </w:p>
        </w:tc>
        <w:tc>
          <w:tcPr>
            <w:tcW w:w="794" w:type="dxa"/>
            <w:vAlign w:val="center"/>
          </w:tcPr>
          <w:p w14:paraId="1CD5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94" w:type="dxa"/>
            <w:vAlign w:val="center"/>
          </w:tcPr>
          <w:p w14:paraId="6A47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dxa"/>
            <w:vAlign w:val="center"/>
          </w:tcPr>
          <w:p w14:paraId="1530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794" w:type="dxa"/>
            <w:vAlign w:val="center"/>
          </w:tcPr>
          <w:p w14:paraId="3A02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930" w:type="dxa"/>
            <w:vMerge w:val="continue"/>
            <w:vAlign w:val="center"/>
          </w:tcPr>
          <w:p w14:paraId="13432C1E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E7D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218" w:type="dxa"/>
            <w:vMerge w:val="restart"/>
            <w:vAlign w:val="center"/>
          </w:tcPr>
          <w:p w14:paraId="4A2EF81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世界锦标赛</w:t>
            </w:r>
          </w:p>
          <w:p w14:paraId="19FC43E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世界杯赛</w:t>
            </w:r>
          </w:p>
        </w:tc>
        <w:tc>
          <w:tcPr>
            <w:tcW w:w="1110" w:type="dxa"/>
            <w:vAlign w:val="center"/>
          </w:tcPr>
          <w:p w14:paraId="77B459D2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运动员</w:t>
            </w:r>
          </w:p>
        </w:tc>
        <w:tc>
          <w:tcPr>
            <w:tcW w:w="794" w:type="dxa"/>
            <w:vAlign w:val="center"/>
          </w:tcPr>
          <w:p w14:paraId="392E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dxa"/>
            <w:vAlign w:val="center"/>
          </w:tcPr>
          <w:p w14:paraId="4FD4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vAlign w:val="center"/>
          </w:tcPr>
          <w:p w14:paraId="5DE2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vAlign w:val="center"/>
          </w:tcPr>
          <w:p w14:paraId="5C54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vAlign w:val="center"/>
          </w:tcPr>
          <w:p w14:paraId="72C7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 w14:paraId="3B45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794" w:type="dxa"/>
            <w:vAlign w:val="center"/>
          </w:tcPr>
          <w:p w14:paraId="436A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794" w:type="dxa"/>
            <w:vAlign w:val="center"/>
          </w:tcPr>
          <w:p w14:paraId="425B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930" w:type="dxa"/>
            <w:vMerge w:val="restart"/>
            <w:vAlign w:val="center"/>
          </w:tcPr>
          <w:p w14:paraId="5BCB43A9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年度</w:t>
            </w:r>
          </w:p>
        </w:tc>
      </w:tr>
      <w:tr w14:paraId="49FD8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218" w:type="dxa"/>
            <w:vMerge w:val="continue"/>
            <w:vAlign w:val="center"/>
          </w:tcPr>
          <w:p w14:paraId="2380012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7FA31E28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教练员</w:t>
            </w:r>
          </w:p>
        </w:tc>
        <w:tc>
          <w:tcPr>
            <w:tcW w:w="794" w:type="dxa"/>
            <w:vAlign w:val="center"/>
          </w:tcPr>
          <w:p w14:paraId="4F06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vAlign w:val="center"/>
          </w:tcPr>
          <w:p w14:paraId="7DE8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vAlign w:val="center"/>
          </w:tcPr>
          <w:p w14:paraId="6F3A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vAlign w:val="center"/>
          </w:tcPr>
          <w:p w14:paraId="45EC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 w14:paraId="64CD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94" w:type="dxa"/>
            <w:vAlign w:val="center"/>
          </w:tcPr>
          <w:p w14:paraId="7A17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dxa"/>
            <w:vAlign w:val="center"/>
          </w:tcPr>
          <w:p w14:paraId="42F5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794" w:type="dxa"/>
            <w:vAlign w:val="center"/>
          </w:tcPr>
          <w:p w14:paraId="2E12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930" w:type="dxa"/>
            <w:vMerge w:val="continue"/>
            <w:vAlign w:val="center"/>
          </w:tcPr>
          <w:p w14:paraId="4B03A665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37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218" w:type="dxa"/>
            <w:vMerge w:val="restart"/>
            <w:vAlign w:val="center"/>
          </w:tcPr>
          <w:p w14:paraId="53ECB1A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亚洲锦标赛</w:t>
            </w:r>
          </w:p>
          <w:p w14:paraId="3C3409C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亚洲杯赛</w:t>
            </w:r>
          </w:p>
        </w:tc>
        <w:tc>
          <w:tcPr>
            <w:tcW w:w="1110" w:type="dxa"/>
            <w:vAlign w:val="center"/>
          </w:tcPr>
          <w:p w14:paraId="74049ED5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运动员</w:t>
            </w:r>
          </w:p>
        </w:tc>
        <w:tc>
          <w:tcPr>
            <w:tcW w:w="794" w:type="dxa"/>
            <w:vAlign w:val="center"/>
          </w:tcPr>
          <w:p w14:paraId="2E9A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vAlign w:val="center"/>
          </w:tcPr>
          <w:p w14:paraId="4469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vAlign w:val="center"/>
          </w:tcPr>
          <w:p w14:paraId="6305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794" w:type="dxa"/>
            <w:vAlign w:val="center"/>
          </w:tcPr>
          <w:p w14:paraId="6EA3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 w14:paraId="2A4C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794" w:type="dxa"/>
            <w:vAlign w:val="center"/>
          </w:tcPr>
          <w:p w14:paraId="4361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794" w:type="dxa"/>
            <w:vAlign w:val="center"/>
          </w:tcPr>
          <w:p w14:paraId="2630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dxa"/>
            <w:vAlign w:val="center"/>
          </w:tcPr>
          <w:p w14:paraId="6AAE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930" w:type="dxa"/>
            <w:vMerge w:val="continue"/>
            <w:vAlign w:val="center"/>
          </w:tcPr>
          <w:p w14:paraId="3148F186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E0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218" w:type="dxa"/>
            <w:vMerge w:val="continue"/>
            <w:vAlign w:val="center"/>
          </w:tcPr>
          <w:p w14:paraId="4638C38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02D35B32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教练员</w:t>
            </w:r>
          </w:p>
        </w:tc>
        <w:tc>
          <w:tcPr>
            <w:tcW w:w="794" w:type="dxa"/>
            <w:vAlign w:val="center"/>
          </w:tcPr>
          <w:p w14:paraId="24A0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vAlign w:val="center"/>
          </w:tcPr>
          <w:p w14:paraId="7D7A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 w14:paraId="35CD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  <w:tc>
          <w:tcPr>
            <w:tcW w:w="794" w:type="dxa"/>
            <w:vAlign w:val="center"/>
          </w:tcPr>
          <w:p w14:paraId="0113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94" w:type="dxa"/>
            <w:vAlign w:val="center"/>
          </w:tcPr>
          <w:p w14:paraId="2D21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dxa"/>
            <w:vAlign w:val="center"/>
          </w:tcPr>
          <w:p w14:paraId="260C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794" w:type="dxa"/>
            <w:vAlign w:val="center"/>
          </w:tcPr>
          <w:p w14:paraId="4E03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794" w:type="dxa"/>
            <w:vAlign w:val="center"/>
          </w:tcPr>
          <w:p w14:paraId="56B3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</w:p>
        </w:tc>
        <w:tc>
          <w:tcPr>
            <w:tcW w:w="930" w:type="dxa"/>
            <w:vMerge w:val="continue"/>
            <w:vAlign w:val="center"/>
          </w:tcPr>
          <w:p w14:paraId="401D2D94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E4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218" w:type="dxa"/>
            <w:vMerge w:val="restart"/>
            <w:vAlign w:val="center"/>
          </w:tcPr>
          <w:p w14:paraId="0940018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全国锦标赛、学生（青年）运会</w:t>
            </w:r>
          </w:p>
        </w:tc>
        <w:tc>
          <w:tcPr>
            <w:tcW w:w="1110" w:type="dxa"/>
            <w:vAlign w:val="center"/>
          </w:tcPr>
          <w:p w14:paraId="5B439080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运动员</w:t>
            </w:r>
          </w:p>
        </w:tc>
        <w:tc>
          <w:tcPr>
            <w:tcW w:w="794" w:type="dxa"/>
            <w:vAlign w:val="center"/>
          </w:tcPr>
          <w:p w14:paraId="325D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94" w:type="dxa"/>
            <w:vAlign w:val="center"/>
          </w:tcPr>
          <w:p w14:paraId="64E4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</w:rPr>
              <w:t>0.8</w:t>
            </w:r>
          </w:p>
        </w:tc>
        <w:tc>
          <w:tcPr>
            <w:tcW w:w="794" w:type="dxa"/>
            <w:vAlign w:val="center"/>
          </w:tcPr>
          <w:p w14:paraId="64E9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</w:rPr>
              <w:t>0.6</w:t>
            </w:r>
          </w:p>
        </w:tc>
        <w:tc>
          <w:tcPr>
            <w:tcW w:w="794" w:type="dxa"/>
            <w:vAlign w:val="center"/>
          </w:tcPr>
          <w:p w14:paraId="0334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94" w:type="dxa"/>
            <w:vAlign w:val="center"/>
          </w:tcPr>
          <w:p w14:paraId="5E96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dxa"/>
            <w:vAlign w:val="center"/>
          </w:tcPr>
          <w:p w14:paraId="6ED8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794" w:type="dxa"/>
            <w:vAlign w:val="center"/>
          </w:tcPr>
          <w:p w14:paraId="4C86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794" w:type="dxa"/>
            <w:vAlign w:val="center"/>
          </w:tcPr>
          <w:p w14:paraId="1238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930" w:type="dxa"/>
            <w:vMerge w:val="restart"/>
            <w:vAlign w:val="center"/>
          </w:tcPr>
          <w:p w14:paraId="3B889EBE">
            <w:pPr>
              <w:tabs>
                <w:tab w:val="left" w:pos="1191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年度/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三年一届</w:t>
            </w:r>
          </w:p>
        </w:tc>
      </w:tr>
      <w:tr w14:paraId="0FD9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218" w:type="dxa"/>
            <w:vMerge w:val="continue"/>
            <w:vAlign w:val="center"/>
          </w:tcPr>
          <w:p w14:paraId="75D1096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346D0706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教练员</w:t>
            </w:r>
          </w:p>
        </w:tc>
        <w:tc>
          <w:tcPr>
            <w:tcW w:w="794" w:type="dxa"/>
            <w:vAlign w:val="center"/>
          </w:tcPr>
          <w:p w14:paraId="4922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 w14:paraId="619E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  <w:tc>
          <w:tcPr>
            <w:tcW w:w="794" w:type="dxa"/>
            <w:vAlign w:val="center"/>
          </w:tcPr>
          <w:p w14:paraId="4540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94" w:type="dxa"/>
            <w:vAlign w:val="center"/>
          </w:tcPr>
          <w:p w14:paraId="275C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dxa"/>
            <w:vAlign w:val="center"/>
          </w:tcPr>
          <w:p w14:paraId="6113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794" w:type="dxa"/>
            <w:vAlign w:val="center"/>
          </w:tcPr>
          <w:p w14:paraId="3CB7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794" w:type="dxa"/>
            <w:vAlign w:val="center"/>
          </w:tcPr>
          <w:p w14:paraId="08C8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</w:p>
        </w:tc>
        <w:tc>
          <w:tcPr>
            <w:tcW w:w="794" w:type="dxa"/>
            <w:vAlign w:val="center"/>
          </w:tcPr>
          <w:p w14:paraId="1A6C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930" w:type="dxa"/>
            <w:vMerge w:val="continue"/>
            <w:vAlign w:val="center"/>
          </w:tcPr>
          <w:p w14:paraId="5ACA6820">
            <w:pPr>
              <w:tabs>
                <w:tab w:val="left" w:pos="1191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3D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restart"/>
            <w:vAlign w:val="center"/>
          </w:tcPr>
          <w:p w14:paraId="3E7534F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省青少年</w:t>
            </w:r>
          </w:p>
          <w:p w14:paraId="4A9895E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锦标赛</w:t>
            </w:r>
          </w:p>
        </w:tc>
        <w:tc>
          <w:tcPr>
            <w:tcW w:w="1110" w:type="dxa"/>
            <w:vAlign w:val="center"/>
          </w:tcPr>
          <w:p w14:paraId="5D6A7F06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运动员</w:t>
            </w:r>
          </w:p>
        </w:tc>
        <w:tc>
          <w:tcPr>
            <w:tcW w:w="794" w:type="dxa"/>
            <w:vAlign w:val="center"/>
          </w:tcPr>
          <w:p w14:paraId="1F91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dxa"/>
            <w:vAlign w:val="center"/>
          </w:tcPr>
          <w:p w14:paraId="248F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794" w:type="dxa"/>
            <w:vAlign w:val="center"/>
          </w:tcPr>
          <w:p w14:paraId="41E2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</w:p>
        </w:tc>
        <w:tc>
          <w:tcPr>
            <w:tcW w:w="794" w:type="dxa"/>
            <w:vAlign w:val="center"/>
          </w:tcPr>
          <w:p w14:paraId="03E9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794" w:type="dxa"/>
            <w:vAlign w:val="center"/>
          </w:tcPr>
          <w:p w14:paraId="6AEF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794" w:type="dxa"/>
            <w:vAlign w:val="center"/>
          </w:tcPr>
          <w:p w14:paraId="5EA5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794" w:type="dxa"/>
            <w:vAlign w:val="center"/>
          </w:tcPr>
          <w:p w14:paraId="044A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794" w:type="dxa"/>
            <w:vAlign w:val="center"/>
          </w:tcPr>
          <w:p w14:paraId="34C5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930" w:type="dxa"/>
            <w:vMerge w:val="restart"/>
            <w:vAlign w:val="center"/>
          </w:tcPr>
          <w:p w14:paraId="6CEA2056">
            <w:pPr>
              <w:tabs>
                <w:tab w:val="left" w:pos="1191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年度</w:t>
            </w:r>
          </w:p>
        </w:tc>
      </w:tr>
      <w:tr w14:paraId="7AD7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continue"/>
            <w:vAlign w:val="center"/>
          </w:tcPr>
          <w:p w14:paraId="21EF9E4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66B0F234"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教练员</w:t>
            </w:r>
          </w:p>
        </w:tc>
        <w:tc>
          <w:tcPr>
            <w:tcW w:w="794" w:type="dxa"/>
            <w:vAlign w:val="center"/>
          </w:tcPr>
          <w:p w14:paraId="2C45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dxa"/>
            <w:vAlign w:val="center"/>
          </w:tcPr>
          <w:p w14:paraId="1FDE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794" w:type="dxa"/>
            <w:vAlign w:val="center"/>
          </w:tcPr>
          <w:p w14:paraId="3259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</w:p>
        </w:tc>
        <w:tc>
          <w:tcPr>
            <w:tcW w:w="794" w:type="dxa"/>
            <w:vAlign w:val="center"/>
          </w:tcPr>
          <w:p w14:paraId="5464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794" w:type="dxa"/>
            <w:vAlign w:val="center"/>
          </w:tcPr>
          <w:p w14:paraId="77F2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794" w:type="dxa"/>
            <w:vAlign w:val="center"/>
          </w:tcPr>
          <w:p w14:paraId="136D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794" w:type="dxa"/>
            <w:vAlign w:val="center"/>
          </w:tcPr>
          <w:p w14:paraId="24C3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794" w:type="dxa"/>
            <w:vAlign w:val="center"/>
          </w:tcPr>
          <w:p w14:paraId="5BCB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930" w:type="dxa"/>
            <w:vMerge w:val="continue"/>
            <w:vAlign w:val="center"/>
          </w:tcPr>
          <w:p w14:paraId="42EFFEBF">
            <w:pPr>
              <w:tabs>
                <w:tab w:val="left" w:pos="1191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DCBFAF">
      <w:pPr>
        <w:tabs>
          <w:tab w:val="left" w:pos="1191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940219-E4AB-4925-8694-BEFD527618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4681770-7021-40D9-99A3-963D46E03A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95D7343-7DED-4EEF-A3E1-A963C04D53F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06E4BF9-4F1E-4289-BA48-7B41F7D442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FBF6E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1F8826C"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JiNjdkMzU1Y2FiNzEzNzE4ZDZlYzgwZTM5YjBjYzIifQ=="/>
  </w:docVars>
  <w:rsids>
    <w:rsidRoot w:val="004341B7"/>
    <w:rsid w:val="000C035E"/>
    <w:rsid w:val="0014722B"/>
    <w:rsid w:val="001D21EE"/>
    <w:rsid w:val="001F225E"/>
    <w:rsid w:val="0027728C"/>
    <w:rsid w:val="002A63D9"/>
    <w:rsid w:val="002E2896"/>
    <w:rsid w:val="00375E27"/>
    <w:rsid w:val="004341B7"/>
    <w:rsid w:val="0058216D"/>
    <w:rsid w:val="005D4603"/>
    <w:rsid w:val="00602157"/>
    <w:rsid w:val="00655A4D"/>
    <w:rsid w:val="00670467"/>
    <w:rsid w:val="00702448"/>
    <w:rsid w:val="00723498"/>
    <w:rsid w:val="00796C66"/>
    <w:rsid w:val="007F76A1"/>
    <w:rsid w:val="009555D5"/>
    <w:rsid w:val="00A571F8"/>
    <w:rsid w:val="00AB38CB"/>
    <w:rsid w:val="00B741BD"/>
    <w:rsid w:val="00B9480C"/>
    <w:rsid w:val="00CC40C9"/>
    <w:rsid w:val="00DA11A8"/>
    <w:rsid w:val="00DD53D3"/>
    <w:rsid w:val="00F82FF4"/>
    <w:rsid w:val="0154501D"/>
    <w:rsid w:val="01555041"/>
    <w:rsid w:val="02227A53"/>
    <w:rsid w:val="025137B5"/>
    <w:rsid w:val="02651C10"/>
    <w:rsid w:val="031205F8"/>
    <w:rsid w:val="03681C3C"/>
    <w:rsid w:val="042B04DB"/>
    <w:rsid w:val="04823F6B"/>
    <w:rsid w:val="04C339F1"/>
    <w:rsid w:val="05A445EF"/>
    <w:rsid w:val="05F74B59"/>
    <w:rsid w:val="06435B91"/>
    <w:rsid w:val="06AB2661"/>
    <w:rsid w:val="06F66299"/>
    <w:rsid w:val="07F71004"/>
    <w:rsid w:val="087C1B7F"/>
    <w:rsid w:val="090D2FFF"/>
    <w:rsid w:val="09774F5A"/>
    <w:rsid w:val="0B2B5AAA"/>
    <w:rsid w:val="0BAD03F0"/>
    <w:rsid w:val="0BC057C4"/>
    <w:rsid w:val="0C6E2EF8"/>
    <w:rsid w:val="0C6F6E83"/>
    <w:rsid w:val="0F460B80"/>
    <w:rsid w:val="0F95300D"/>
    <w:rsid w:val="0F9963DA"/>
    <w:rsid w:val="0FBE44EE"/>
    <w:rsid w:val="0FC650F2"/>
    <w:rsid w:val="109923B4"/>
    <w:rsid w:val="11805BB7"/>
    <w:rsid w:val="123D4D34"/>
    <w:rsid w:val="125C6282"/>
    <w:rsid w:val="126A4951"/>
    <w:rsid w:val="12D85BAD"/>
    <w:rsid w:val="135E6EEE"/>
    <w:rsid w:val="136E0BA9"/>
    <w:rsid w:val="1396686A"/>
    <w:rsid w:val="13C80D44"/>
    <w:rsid w:val="149F21A6"/>
    <w:rsid w:val="15941B79"/>
    <w:rsid w:val="15FA4367"/>
    <w:rsid w:val="1604275C"/>
    <w:rsid w:val="16686EFA"/>
    <w:rsid w:val="168E553B"/>
    <w:rsid w:val="16EE149F"/>
    <w:rsid w:val="16FE09EA"/>
    <w:rsid w:val="175B2FAF"/>
    <w:rsid w:val="17B10BE3"/>
    <w:rsid w:val="18530F87"/>
    <w:rsid w:val="18CA554E"/>
    <w:rsid w:val="19070924"/>
    <w:rsid w:val="191F00C3"/>
    <w:rsid w:val="1997460A"/>
    <w:rsid w:val="19D0568E"/>
    <w:rsid w:val="19D159ED"/>
    <w:rsid w:val="19E33973"/>
    <w:rsid w:val="1ADF7916"/>
    <w:rsid w:val="1CEF4B16"/>
    <w:rsid w:val="1D930843"/>
    <w:rsid w:val="1DC077A5"/>
    <w:rsid w:val="1DF148B0"/>
    <w:rsid w:val="1E2D5DC3"/>
    <w:rsid w:val="1EB6421E"/>
    <w:rsid w:val="1ECA570E"/>
    <w:rsid w:val="1FBD6A57"/>
    <w:rsid w:val="200D1731"/>
    <w:rsid w:val="204F495E"/>
    <w:rsid w:val="205163CA"/>
    <w:rsid w:val="21580858"/>
    <w:rsid w:val="21617201"/>
    <w:rsid w:val="21930CE8"/>
    <w:rsid w:val="21AC457F"/>
    <w:rsid w:val="220B4073"/>
    <w:rsid w:val="224C4D59"/>
    <w:rsid w:val="225257A1"/>
    <w:rsid w:val="22BD08AB"/>
    <w:rsid w:val="22F32E79"/>
    <w:rsid w:val="23602625"/>
    <w:rsid w:val="23767870"/>
    <w:rsid w:val="23C45999"/>
    <w:rsid w:val="24286B52"/>
    <w:rsid w:val="24C26B1F"/>
    <w:rsid w:val="24E27006"/>
    <w:rsid w:val="24FC3F8A"/>
    <w:rsid w:val="26062EC3"/>
    <w:rsid w:val="26543C2E"/>
    <w:rsid w:val="26A9224F"/>
    <w:rsid w:val="27377749"/>
    <w:rsid w:val="276937EB"/>
    <w:rsid w:val="279747C4"/>
    <w:rsid w:val="27BC7858"/>
    <w:rsid w:val="27D926E1"/>
    <w:rsid w:val="28231CC3"/>
    <w:rsid w:val="295B7E06"/>
    <w:rsid w:val="29B608CF"/>
    <w:rsid w:val="2B6F62CB"/>
    <w:rsid w:val="2B9617E3"/>
    <w:rsid w:val="2BD46C09"/>
    <w:rsid w:val="2BFD243A"/>
    <w:rsid w:val="2C95329F"/>
    <w:rsid w:val="2D735500"/>
    <w:rsid w:val="2D794168"/>
    <w:rsid w:val="2DD6386C"/>
    <w:rsid w:val="2E7754F2"/>
    <w:rsid w:val="2EAD50F0"/>
    <w:rsid w:val="2F170586"/>
    <w:rsid w:val="2F25085E"/>
    <w:rsid w:val="2F290645"/>
    <w:rsid w:val="2F725033"/>
    <w:rsid w:val="2FC33BD3"/>
    <w:rsid w:val="2FDE27BA"/>
    <w:rsid w:val="30324F1F"/>
    <w:rsid w:val="31060EFE"/>
    <w:rsid w:val="31125BA6"/>
    <w:rsid w:val="313D4735"/>
    <w:rsid w:val="31927D00"/>
    <w:rsid w:val="31EB1EA7"/>
    <w:rsid w:val="3250761A"/>
    <w:rsid w:val="327135B1"/>
    <w:rsid w:val="32AC406B"/>
    <w:rsid w:val="32D1757D"/>
    <w:rsid w:val="32DC55BA"/>
    <w:rsid w:val="33952BCE"/>
    <w:rsid w:val="341B0F96"/>
    <w:rsid w:val="343874C4"/>
    <w:rsid w:val="34610195"/>
    <w:rsid w:val="34614FBD"/>
    <w:rsid w:val="347251F4"/>
    <w:rsid w:val="34A11B48"/>
    <w:rsid w:val="34A2025B"/>
    <w:rsid w:val="351334AC"/>
    <w:rsid w:val="35B87A66"/>
    <w:rsid w:val="36BB552C"/>
    <w:rsid w:val="36CE6137"/>
    <w:rsid w:val="382D42DF"/>
    <w:rsid w:val="38840FFE"/>
    <w:rsid w:val="38ED15C7"/>
    <w:rsid w:val="39C40C73"/>
    <w:rsid w:val="39DB151F"/>
    <w:rsid w:val="3A1B6FF1"/>
    <w:rsid w:val="3A9A40C2"/>
    <w:rsid w:val="3AA02AD1"/>
    <w:rsid w:val="3AB55D6C"/>
    <w:rsid w:val="3B116132"/>
    <w:rsid w:val="3B817D86"/>
    <w:rsid w:val="3B8251E4"/>
    <w:rsid w:val="3B9F7166"/>
    <w:rsid w:val="3BB016EB"/>
    <w:rsid w:val="3BB15B2B"/>
    <w:rsid w:val="3C43390B"/>
    <w:rsid w:val="3C5D3843"/>
    <w:rsid w:val="3CE84C78"/>
    <w:rsid w:val="3D2D10EF"/>
    <w:rsid w:val="3DCB006E"/>
    <w:rsid w:val="3DF5436D"/>
    <w:rsid w:val="3E111FAD"/>
    <w:rsid w:val="3E980588"/>
    <w:rsid w:val="3ED838AD"/>
    <w:rsid w:val="3F756E00"/>
    <w:rsid w:val="3F7911BE"/>
    <w:rsid w:val="40403826"/>
    <w:rsid w:val="417B3305"/>
    <w:rsid w:val="419C2924"/>
    <w:rsid w:val="42860DFE"/>
    <w:rsid w:val="430359DE"/>
    <w:rsid w:val="439C2BED"/>
    <w:rsid w:val="44C46165"/>
    <w:rsid w:val="44C94CF6"/>
    <w:rsid w:val="452A2D39"/>
    <w:rsid w:val="45496F92"/>
    <w:rsid w:val="45931AA9"/>
    <w:rsid w:val="45EF7C68"/>
    <w:rsid w:val="47481D67"/>
    <w:rsid w:val="47A65E5C"/>
    <w:rsid w:val="47B4418C"/>
    <w:rsid w:val="482538B0"/>
    <w:rsid w:val="48ED753F"/>
    <w:rsid w:val="4A3A6E5B"/>
    <w:rsid w:val="4A725C41"/>
    <w:rsid w:val="4ACF63D7"/>
    <w:rsid w:val="4B7720CB"/>
    <w:rsid w:val="4BB95C9D"/>
    <w:rsid w:val="4C9D5A49"/>
    <w:rsid w:val="4D000865"/>
    <w:rsid w:val="4D0F410B"/>
    <w:rsid w:val="4F1B33B5"/>
    <w:rsid w:val="4FA53B03"/>
    <w:rsid w:val="51C0773A"/>
    <w:rsid w:val="51DD247A"/>
    <w:rsid w:val="52576B3F"/>
    <w:rsid w:val="53FC6EE3"/>
    <w:rsid w:val="543C37EB"/>
    <w:rsid w:val="54B25E40"/>
    <w:rsid w:val="54C2218C"/>
    <w:rsid w:val="55993B8C"/>
    <w:rsid w:val="55C93B45"/>
    <w:rsid w:val="574E4828"/>
    <w:rsid w:val="583D0028"/>
    <w:rsid w:val="5979074B"/>
    <w:rsid w:val="59F55A20"/>
    <w:rsid w:val="59FE1C9F"/>
    <w:rsid w:val="5A991D17"/>
    <w:rsid w:val="5E1C4151"/>
    <w:rsid w:val="5FB37F01"/>
    <w:rsid w:val="5FF502F5"/>
    <w:rsid w:val="60367843"/>
    <w:rsid w:val="60BD0047"/>
    <w:rsid w:val="62A356AD"/>
    <w:rsid w:val="62A368BD"/>
    <w:rsid w:val="633024FD"/>
    <w:rsid w:val="637515DC"/>
    <w:rsid w:val="64A44DA6"/>
    <w:rsid w:val="64B11384"/>
    <w:rsid w:val="65381C4A"/>
    <w:rsid w:val="655E3434"/>
    <w:rsid w:val="65C87892"/>
    <w:rsid w:val="65DA64E6"/>
    <w:rsid w:val="662C624F"/>
    <w:rsid w:val="66EB46F4"/>
    <w:rsid w:val="686A78C8"/>
    <w:rsid w:val="686B7407"/>
    <w:rsid w:val="6876392F"/>
    <w:rsid w:val="68BF04F7"/>
    <w:rsid w:val="699F55CA"/>
    <w:rsid w:val="6A3F387A"/>
    <w:rsid w:val="6B0B4C4A"/>
    <w:rsid w:val="6B751687"/>
    <w:rsid w:val="6BE94809"/>
    <w:rsid w:val="6BFE561F"/>
    <w:rsid w:val="6E3576C4"/>
    <w:rsid w:val="6E7E59E2"/>
    <w:rsid w:val="6EA62F0E"/>
    <w:rsid w:val="6F081367"/>
    <w:rsid w:val="6F423310"/>
    <w:rsid w:val="6FF2403B"/>
    <w:rsid w:val="72115177"/>
    <w:rsid w:val="724A2453"/>
    <w:rsid w:val="72AC7F1B"/>
    <w:rsid w:val="72D811B0"/>
    <w:rsid w:val="731D4975"/>
    <w:rsid w:val="7330724A"/>
    <w:rsid w:val="73913B59"/>
    <w:rsid w:val="73D51E20"/>
    <w:rsid w:val="73E022FF"/>
    <w:rsid w:val="73E66414"/>
    <w:rsid w:val="73F6546A"/>
    <w:rsid w:val="74DB2BB4"/>
    <w:rsid w:val="75856ED1"/>
    <w:rsid w:val="759A0059"/>
    <w:rsid w:val="76DB0DCF"/>
    <w:rsid w:val="76F402C9"/>
    <w:rsid w:val="77332E92"/>
    <w:rsid w:val="78161EF8"/>
    <w:rsid w:val="79646E59"/>
    <w:rsid w:val="79C47AF1"/>
    <w:rsid w:val="79E027CB"/>
    <w:rsid w:val="7A7B08FF"/>
    <w:rsid w:val="7AD85D51"/>
    <w:rsid w:val="7AE715F0"/>
    <w:rsid w:val="7B9F073D"/>
    <w:rsid w:val="7BDD457D"/>
    <w:rsid w:val="7C756939"/>
    <w:rsid w:val="7CEF7382"/>
    <w:rsid w:val="7DCA10A3"/>
    <w:rsid w:val="7ED304A2"/>
    <w:rsid w:val="7F5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日期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3272</Words>
  <Characters>3509</Characters>
  <Lines>12</Lines>
  <Paragraphs>3</Paragraphs>
  <TotalTime>28</TotalTime>
  <ScaleCrop>false</ScaleCrop>
  <LinksUpToDate>false</LinksUpToDate>
  <CharactersWithSpaces>3568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2020-04-15T01:07:00Z</dcterms:created>
  <dc:creator>swtx01</dc:creator>
  <cp:lastModifiedBy>John</cp:lastModifiedBy>
  <cp:lastPrinted>2025-11-11T02:31:00Z</cp:lastPrinted>
  <dcterms:modified xsi:type="dcterms:W3CDTF">2025-11-14T01:06:05Z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eyJoZGlkIjoiZDdlNDUyNjUyMThkMGVkOTdjYTQ5ZGY5NmNjNzZkMGMiLCJ1c2VySWQiOiI1MTcyMTQ1MDgifQ==</vt:lpwstr>
  </property>
  <property fmtid="{D5CDD505-2E9C-101B-9397-08002B2CF9AE}" pid="4" name="ICV">
    <vt:lpwstr>B076E729F2D549C5A511658DC256A5B2_12</vt:lpwstr>
  </property>
</Properties>
</file>